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86" w:rsidRPr="00900886" w:rsidRDefault="00900886" w:rsidP="00900886">
      <w:pPr>
        <w:pStyle w:val="Style78"/>
        <w:rPr>
          <w:sz w:val="32"/>
          <w:szCs w:val="32"/>
        </w:rPr>
      </w:pPr>
      <w:r w:rsidRPr="00900886">
        <w:rPr>
          <w:sz w:val="32"/>
          <w:szCs w:val="32"/>
        </w:rPr>
        <w:t xml:space="preserve">Mối quan hệ giữa tải lượng với năng suất và </w:t>
      </w:r>
    </w:p>
    <w:p w:rsidR="00900886" w:rsidRPr="00900886" w:rsidRDefault="00900886" w:rsidP="00900886">
      <w:pPr>
        <w:pStyle w:val="Style78"/>
        <w:rPr>
          <w:sz w:val="32"/>
          <w:szCs w:val="32"/>
        </w:rPr>
      </w:pPr>
      <w:r w:rsidRPr="00900886">
        <w:rPr>
          <w:sz w:val="32"/>
          <w:szCs w:val="32"/>
        </w:rPr>
        <w:t xml:space="preserve">hiệu suất xử lý COD của hai kĩ thuật xử lý yếm khí </w:t>
      </w:r>
    </w:p>
    <w:p w:rsidR="00900886" w:rsidRPr="00430C00" w:rsidRDefault="00900886" w:rsidP="00900886">
      <w:pPr>
        <w:pStyle w:val="Style78"/>
      </w:pPr>
      <w:r w:rsidRPr="00900886">
        <w:rPr>
          <w:sz w:val="32"/>
          <w:szCs w:val="32"/>
        </w:rPr>
        <w:t>đối với nước thải giàu cặn hữu cơ</w:t>
      </w:r>
      <w:r w:rsidRPr="00430C00">
        <w:t xml:space="preserve"> </w:t>
      </w:r>
    </w:p>
    <w:p w:rsidR="00900886" w:rsidRPr="007D16B7" w:rsidRDefault="00900886" w:rsidP="00845B3E">
      <w:pPr>
        <w:pStyle w:val="Style79"/>
        <w:spacing w:before="240" w:after="120"/>
        <w:rPr>
          <w:sz w:val="24"/>
          <w:szCs w:val="24"/>
          <w:vertAlign w:val="superscript"/>
        </w:rPr>
      </w:pPr>
      <w:r w:rsidRPr="007D16B7">
        <w:rPr>
          <w:sz w:val="24"/>
          <w:szCs w:val="24"/>
        </w:rPr>
        <w:t>Nguyễn Trường Quân</w:t>
      </w:r>
      <w:r w:rsidRPr="007D16B7">
        <w:rPr>
          <w:sz w:val="24"/>
          <w:szCs w:val="24"/>
          <w:vertAlign w:val="superscript"/>
        </w:rPr>
        <w:t>1</w:t>
      </w:r>
      <w:r w:rsidRPr="007D16B7">
        <w:rPr>
          <w:sz w:val="24"/>
          <w:szCs w:val="24"/>
        </w:rPr>
        <w:t>, Võ Thị Thanh Tâm</w:t>
      </w:r>
      <w:r w:rsidRPr="007D16B7">
        <w:rPr>
          <w:sz w:val="24"/>
          <w:szCs w:val="24"/>
          <w:vertAlign w:val="superscript"/>
        </w:rPr>
        <w:t>1</w:t>
      </w:r>
      <w:r w:rsidRPr="007D16B7">
        <w:rPr>
          <w:sz w:val="24"/>
          <w:szCs w:val="24"/>
        </w:rPr>
        <w:t>, Cao Thế Hà</w:t>
      </w:r>
      <w:r w:rsidRPr="007D16B7">
        <w:rPr>
          <w:sz w:val="24"/>
          <w:szCs w:val="24"/>
          <w:vertAlign w:val="superscript"/>
        </w:rPr>
        <w:t>1</w:t>
      </w:r>
      <w:r w:rsidRPr="007D16B7">
        <w:rPr>
          <w:sz w:val="24"/>
          <w:szCs w:val="24"/>
        </w:rPr>
        <w:t>, Lê Văn Chiều</w:t>
      </w:r>
      <w:r w:rsidRPr="007D16B7">
        <w:rPr>
          <w:sz w:val="24"/>
          <w:szCs w:val="24"/>
          <w:vertAlign w:val="superscript"/>
        </w:rPr>
        <w:t>2</w:t>
      </w:r>
      <w:r w:rsidR="007D16B7">
        <w:rPr>
          <w:sz w:val="24"/>
          <w:szCs w:val="24"/>
        </w:rPr>
        <w:t xml:space="preserve">, </w:t>
      </w:r>
      <w:r w:rsidRPr="007D16B7">
        <w:rPr>
          <w:sz w:val="24"/>
          <w:szCs w:val="24"/>
        </w:rPr>
        <w:t>Trần Mạnh Hải</w:t>
      </w:r>
      <w:r w:rsidRPr="007D16B7">
        <w:rPr>
          <w:sz w:val="24"/>
          <w:szCs w:val="24"/>
          <w:vertAlign w:val="superscript"/>
        </w:rPr>
        <w:t>3</w:t>
      </w:r>
    </w:p>
    <w:p w:rsidR="00900886" w:rsidRDefault="00900886" w:rsidP="00900886">
      <w:pPr>
        <w:pStyle w:val="Style80"/>
      </w:pPr>
      <w:r>
        <w:rPr>
          <w:vertAlign w:val="superscript"/>
        </w:rPr>
        <w:t>1</w:t>
      </w:r>
      <w:r>
        <w:t xml:space="preserve">Trung tâm Nghiên cứu Công nghệ môi trường và Phát triển bền vững (CETASD), </w:t>
      </w:r>
      <w:r>
        <w:br/>
        <w:t>Trường Đại học Khoa học Tự nhiên, ĐHQGHN</w:t>
      </w:r>
    </w:p>
    <w:p w:rsidR="00900886" w:rsidRDefault="00900886" w:rsidP="00900886">
      <w:pPr>
        <w:pStyle w:val="Style80"/>
      </w:pPr>
      <w:r>
        <w:rPr>
          <w:vertAlign w:val="superscript"/>
        </w:rPr>
        <w:t>2</w:t>
      </w:r>
      <w:r>
        <w:t>Ban Quản lý các dự án, Đại học Quốc gia Hà Nội</w:t>
      </w:r>
    </w:p>
    <w:p w:rsidR="00900886" w:rsidRDefault="00900886" w:rsidP="00900886">
      <w:pPr>
        <w:pStyle w:val="Style80"/>
      </w:pPr>
      <w:r>
        <w:rPr>
          <w:vertAlign w:val="superscript"/>
        </w:rPr>
        <w:t>3</w:t>
      </w:r>
      <w:r>
        <w:t>Viện Công nghệ môi trường, Viện hàn lâm Khoa học và Công nghệ Việt Nam</w:t>
      </w:r>
    </w:p>
    <w:p w:rsidR="00CB46E4" w:rsidRPr="00900886" w:rsidRDefault="00900886" w:rsidP="007D16B7">
      <w:pPr>
        <w:spacing w:before="120" w:after="120" w:line="240" w:lineRule="auto"/>
        <w:jc w:val="both"/>
        <w:rPr>
          <w:rFonts w:asciiTheme="majorHAnsi" w:hAnsiTheme="majorHAnsi" w:cstheme="majorHAnsi"/>
          <w:lang w:val="de-DE"/>
        </w:rPr>
      </w:pPr>
      <w:r w:rsidRPr="00900886">
        <w:rPr>
          <w:rFonts w:asciiTheme="majorHAnsi" w:hAnsiTheme="majorHAnsi" w:cstheme="majorHAnsi"/>
          <w:b/>
          <w:lang w:val="de-DE"/>
        </w:rPr>
        <w:t>Tóm tắt:</w:t>
      </w:r>
      <w:r w:rsidRPr="00900886">
        <w:rPr>
          <w:rFonts w:asciiTheme="majorHAnsi" w:hAnsiTheme="majorHAnsi" w:cstheme="majorHAnsi"/>
          <w:lang w:val="de-DE"/>
        </w:rPr>
        <w:t xml:space="preserve"> Bài báo đánh giá mối quan hệ giữa tải lượng với năng suất và hiệu suất xử lý COD đối với công nghệ yếm khí cao tải bằng kỹ thuật tuần hoàn nội trên hai hệ thí nghiệm IC và ABR áp dụng xử lý nước thải chăn nuôi lợn qui mô phòng thí nghiệm. Hai hệ được vận hành ở điều kiện nhiệt độ thường với thời gian lưu nước và tải lượng COD đầu vào tương đương nhau, và có mật độ bùn ban đầu là 13,3 g/l. Kết quả cho thấy hiệu suất xử lý COD tổng trung bình của hệ IC dao động trong khoảng từ 63-75% và có xu hướng giảm xuống khi tăng dần tải lượng đầu vào, trong khi đó hệ ABR đạt hiệu suất trung bình trong khoảng từ 67-77 % và có xu hướng tăng lên. Hệ ABR xử lý COD tổng hiệu quả và ổn định hơn hệ IC. Hai hệ đều xử lý COD hòa tan ổn định và xu hướng hiệu quả xử lý là tương đương nhau. So với IC, ABR có ưu thế khi xử lý nước thải chứa nhiều cặn và hiệu quả xử lý COD tổng tốt hơn.</w:t>
      </w:r>
    </w:p>
    <w:p w:rsidR="00900886" w:rsidRPr="00900886" w:rsidRDefault="00900886" w:rsidP="00900886">
      <w:pPr>
        <w:jc w:val="both"/>
        <w:rPr>
          <w:rFonts w:asciiTheme="majorHAnsi" w:hAnsiTheme="majorHAnsi" w:cstheme="majorHAnsi"/>
          <w:lang w:val="de-DE"/>
        </w:rPr>
      </w:pPr>
      <w:r w:rsidRPr="00900886">
        <w:rPr>
          <w:rFonts w:asciiTheme="majorHAnsi" w:hAnsiTheme="majorHAnsi" w:cstheme="majorHAnsi"/>
          <w:i/>
          <w:lang w:val="de-DE"/>
        </w:rPr>
        <w:t>Từ khóa: yếm khí, tuần hoàn nội, bồn yếm khí có vách ngăn đảo dòng, tải lượng, năng suất xử lý</w:t>
      </w:r>
      <w:r w:rsidRPr="00900886">
        <w:rPr>
          <w:rFonts w:asciiTheme="majorHAnsi" w:hAnsiTheme="majorHAnsi" w:cstheme="majorHAnsi"/>
          <w:lang w:val="de-DE"/>
        </w:rPr>
        <w:t>.</w:t>
      </w:r>
    </w:p>
    <w:p w:rsidR="00900886" w:rsidRPr="0083398B" w:rsidRDefault="00900886" w:rsidP="00845B3E">
      <w:pPr>
        <w:pStyle w:val="Style83"/>
        <w:spacing w:before="240" w:after="120"/>
        <w:rPr>
          <w:sz w:val="24"/>
          <w:szCs w:val="24"/>
          <w:lang w:val="de-DE"/>
        </w:rPr>
      </w:pPr>
      <w:r w:rsidRPr="0083398B">
        <w:rPr>
          <w:sz w:val="24"/>
          <w:szCs w:val="24"/>
          <w:lang w:val="de-DE"/>
        </w:rPr>
        <w:t>1. Mở đầu</w:t>
      </w:r>
    </w:p>
    <w:p w:rsidR="00900886" w:rsidRPr="00900886" w:rsidRDefault="00900886" w:rsidP="00440704">
      <w:pPr>
        <w:pStyle w:val="Style83"/>
        <w:spacing w:before="120" w:after="120"/>
        <w:ind w:firstLine="720"/>
        <w:rPr>
          <w:rFonts w:asciiTheme="majorHAnsi" w:eastAsia="Times New Roman" w:hAnsiTheme="majorHAnsi" w:cstheme="majorHAnsi"/>
          <w:b w:val="0"/>
          <w:sz w:val="24"/>
          <w:szCs w:val="24"/>
          <w:lang w:val="de-DE"/>
        </w:rPr>
      </w:pPr>
      <w:r w:rsidRPr="00900886">
        <w:rPr>
          <w:rFonts w:asciiTheme="majorHAnsi" w:eastAsia="Times New Roman" w:hAnsiTheme="majorHAnsi" w:cstheme="majorHAnsi"/>
          <w:b w:val="0"/>
          <w:color w:val="000000"/>
          <w:sz w:val="24"/>
          <w:szCs w:val="24"/>
          <w:lang w:val="de-DE"/>
        </w:rPr>
        <w:t xml:space="preserve">Xử lý yếm khí là kĩ thuật lâu đời, gần đây khi biogas được coi là một nguồn năng lượng tái tạo, nó trở nên hấp dẫn và được quan tâm phát triển. Nước thải chăn nuôi thuộc loại nước thải có thành phần cặn hữu cơ cao, khó phân hủy sinh học là một đối tượng rất khó xử lý. Vì vậy đối với loại nước thải này, kĩ thuật yếm khí luôn là sự lựa chọn đầu tiên. Theo Lettinga </w:t>
      </w:r>
      <w:r w:rsidRPr="00900886">
        <w:rPr>
          <w:rFonts w:asciiTheme="majorHAnsi" w:eastAsia="Times New Roman" w:hAnsiTheme="majorHAnsi" w:cstheme="majorHAnsi"/>
          <w:b w:val="0"/>
          <w:color w:val="FF0000"/>
          <w:sz w:val="24"/>
          <w:szCs w:val="24"/>
          <w:lang w:val="de-DE"/>
        </w:rPr>
        <w:t>[1]</w:t>
      </w:r>
      <w:r w:rsidRPr="00900886">
        <w:rPr>
          <w:rFonts w:asciiTheme="majorHAnsi" w:eastAsia="Times New Roman" w:hAnsiTheme="majorHAnsi" w:cstheme="majorHAnsi"/>
          <w:b w:val="0"/>
          <w:sz w:val="24"/>
          <w:szCs w:val="24"/>
          <w:lang w:val="de-DE"/>
        </w:rPr>
        <w:t xml:space="preserve">, </w:t>
      </w:r>
      <w:r w:rsidRPr="00900886">
        <w:rPr>
          <w:rFonts w:asciiTheme="majorHAnsi" w:eastAsia="Times New Roman" w:hAnsiTheme="majorHAnsi" w:cstheme="majorHAnsi"/>
          <w:b w:val="0"/>
          <w:color w:val="000000"/>
          <w:sz w:val="24"/>
          <w:szCs w:val="24"/>
          <w:lang w:val="de-DE"/>
        </w:rPr>
        <w:t>tốc độ sinh trưởng vi khuẩn yếm khí thấp, một thời gian dài người ta đã quan niệm chưa chính xác về hệ yếm khí là quá trình diễn ra chậm và năng suất xử lý kém so với kỹ thuật hiếu khí. Các kỹ thuật yếm khí hiện đại gần đây như kỹ thuật tuần hoàn nội (IC - Internal Circulation) có thể chấp nhận tải lượng đầu vào từ vài chục tới trên hàng trăm kg COD/m</w:t>
      </w:r>
      <w:r w:rsidRPr="00900886">
        <w:rPr>
          <w:rFonts w:asciiTheme="majorHAnsi" w:eastAsia="Times New Roman" w:hAnsiTheme="majorHAnsi" w:cstheme="majorHAnsi"/>
          <w:b w:val="0"/>
          <w:color w:val="000000"/>
          <w:sz w:val="24"/>
          <w:szCs w:val="24"/>
          <w:vertAlign w:val="superscript"/>
          <w:lang w:val="de-DE"/>
        </w:rPr>
        <w:t>3</w:t>
      </w:r>
      <w:r w:rsidRPr="00900886">
        <w:rPr>
          <w:rFonts w:asciiTheme="majorHAnsi" w:eastAsia="Times New Roman" w:hAnsiTheme="majorHAnsi" w:cstheme="majorHAnsi"/>
          <w:b w:val="0"/>
          <w:color w:val="000000"/>
          <w:sz w:val="24"/>
          <w:szCs w:val="24"/>
          <w:lang w:val="de-DE"/>
        </w:rPr>
        <w:t xml:space="preserve">/ngày với hiệu suất xử lý lên tới là 70-90% </w:t>
      </w:r>
      <w:r w:rsidRPr="00900886">
        <w:rPr>
          <w:rFonts w:asciiTheme="majorHAnsi" w:eastAsia="Times New Roman" w:hAnsiTheme="majorHAnsi" w:cstheme="majorHAnsi"/>
          <w:b w:val="0"/>
          <w:color w:val="FF0000"/>
          <w:sz w:val="24"/>
          <w:szCs w:val="24"/>
          <w:lang w:val="de-DE"/>
        </w:rPr>
        <w:t>[2, 3]</w:t>
      </w:r>
      <w:r w:rsidRPr="00900886">
        <w:rPr>
          <w:rFonts w:asciiTheme="majorHAnsi" w:eastAsia="Times New Roman" w:hAnsiTheme="majorHAnsi" w:cstheme="majorHAnsi"/>
          <w:b w:val="0"/>
          <w:sz w:val="24"/>
          <w:szCs w:val="24"/>
          <w:lang w:val="de-DE"/>
        </w:rPr>
        <w:t>.</w:t>
      </w:r>
    </w:p>
    <w:p w:rsidR="00900886" w:rsidRDefault="00900886" w:rsidP="00440704">
      <w:pPr>
        <w:spacing w:before="120" w:after="120" w:line="240" w:lineRule="auto"/>
        <w:ind w:firstLine="720"/>
        <w:jc w:val="both"/>
        <w:rPr>
          <w:rFonts w:asciiTheme="majorHAnsi" w:eastAsia="Times New Roman" w:hAnsiTheme="majorHAnsi" w:cstheme="majorHAnsi"/>
          <w:color w:val="000000"/>
          <w:sz w:val="24"/>
          <w:szCs w:val="24"/>
          <w:lang w:val="de-DE"/>
        </w:rPr>
      </w:pPr>
      <w:r w:rsidRPr="00900886">
        <w:rPr>
          <w:rFonts w:asciiTheme="majorHAnsi" w:eastAsia="Times New Roman" w:hAnsiTheme="majorHAnsi" w:cstheme="majorHAnsi"/>
          <w:color w:val="000000"/>
          <w:sz w:val="24"/>
          <w:szCs w:val="24"/>
          <w:lang w:val="de-DE"/>
        </w:rPr>
        <w:t xml:space="preserve">Kỹ thuật tuần hoàn nội IC hoạt động dựa trên nguyên tắc của hai bồn phản ứng yếm khí ngược dòng qua lớp đệm vi sinh (Upflow Anaerobic Sludge Blanket - UASB) xếp chồng lên nhau. Khí tách ra từ bộ phận tách pha bên dưới được thu lại, chuyển động lên phía trên vào khoang thu khí qua đường ống dẫn lên. Dòng khí chuyển động lên sẽ cuốn theo nước và bùn từ vùng phân hủy cao tải bên dưới. Sau khi tách khí, nước và vi sinh được đưa trở lại vào vùng phản ứng xuống đáy bể, hòa trộn với dòng vào qua đường ống dẫn xuống. Dòng bùn-nước quay ngược lại vùng phản ứng cao tải tạo ra dòng tuần hoàn liên tục trong cột phản ứng - đây là tính chất đặc trưng của kỹ thuật tuần hoàn nội. Kỹ thuật này được đánh giá rất cao cho năng suất xử lý khá lớn trên đơn vị thể tích, gấp tới 75 lần so với kỹ thuật truyền thống (bồn phản ứng khuấy trộn hoàn toàn) và gấp 3 lần so với kỹ thuật UASB </w:t>
      </w:r>
      <w:r w:rsidRPr="00900886">
        <w:rPr>
          <w:rFonts w:asciiTheme="majorHAnsi" w:eastAsia="Times New Roman" w:hAnsiTheme="majorHAnsi" w:cstheme="majorHAnsi"/>
          <w:color w:val="FF0000"/>
          <w:sz w:val="24"/>
          <w:szCs w:val="24"/>
          <w:lang w:val="de-DE"/>
        </w:rPr>
        <w:t>[4]</w:t>
      </w:r>
      <w:r w:rsidRPr="00900886">
        <w:rPr>
          <w:rFonts w:asciiTheme="majorHAnsi" w:eastAsia="Times New Roman" w:hAnsiTheme="majorHAnsi" w:cstheme="majorHAnsi"/>
          <w:color w:val="000000"/>
          <w:sz w:val="24"/>
          <w:szCs w:val="24"/>
          <w:lang w:val="de-DE"/>
        </w:rPr>
        <w:t>. Do vậy, kỹ thuật này được lựa chọn để nghiên cứu đối với loại nước thải có thành phần cặn hữu cơ cao.</w:t>
      </w:r>
    </w:p>
    <w:p w:rsidR="00900886" w:rsidRPr="00900886" w:rsidRDefault="00900886" w:rsidP="00900886">
      <w:pPr>
        <w:pStyle w:val="Style83"/>
        <w:spacing w:before="120" w:after="120"/>
        <w:rPr>
          <w:rFonts w:asciiTheme="majorHAnsi" w:hAnsiTheme="majorHAnsi" w:cstheme="majorHAnsi"/>
          <w:sz w:val="24"/>
          <w:szCs w:val="24"/>
          <w:lang w:val="de-DE"/>
        </w:rPr>
      </w:pPr>
      <w:r w:rsidRPr="00900886">
        <w:rPr>
          <w:rFonts w:asciiTheme="majorHAnsi" w:hAnsiTheme="majorHAnsi" w:cstheme="majorHAnsi"/>
          <w:sz w:val="24"/>
          <w:szCs w:val="24"/>
          <w:lang w:val="vi-VN"/>
        </w:rPr>
        <w:t xml:space="preserve">2. </w:t>
      </w:r>
      <w:r w:rsidRPr="00900886">
        <w:rPr>
          <w:rFonts w:asciiTheme="majorHAnsi" w:hAnsiTheme="majorHAnsi" w:cstheme="majorHAnsi"/>
          <w:sz w:val="24"/>
          <w:szCs w:val="24"/>
          <w:lang w:val="de-DE"/>
        </w:rPr>
        <w:t>Hệ thống thiết bị thí</w:t>
      </w:r>
      <w:r w:rsidRPr="00900886">
        <w:rPr>
          <w:rFonts w:asciiTheme="majorHAnsi" w:hAnsiTheme="majorHAnsi" w:cstheme="majorHAnsi"/>
          <w:sz w:val="24"/>
          <w:szCs w:val="24"/>
          <w:lang w:val="vi-VN"/>
        </w:rPr>
        <w:t xml:space="preserve"> nghiệm</w:t>
      </w:r>
    </w:p>
    <w:p w:rsidR="00900886" w:rsidRPr="00900886" w:rsidRDefault="00900886" w:rsidP="00900886">
      <w:pPr>
        <w:pStyle w:val="Style83"/>
        <w:spacing w:before="120" w:after="120"/>
        <w:rPr>
          <w:rFonts w:asciiTheme="majorHAnsi" w:hAnsiTheme="majorHAnsi" w:cstheme="majorHAnsi"/>
          <w:i/>
          <w:sz w:val="24"/>
          <w:szCs w:val="24"/>
          <w:lang w:val="de-DE"/>
        </w:rPr>
      </w:pPr>
      <w:r w:rsidRPr="00900886">
        <w:rPr>
          <w:rFonts w:asciiTheme="majorHAnsi" w:hAnsiTheme="majorHAnsi" w:cstheme="majorHAnsi"/>
          <w:i/>
          <w:sz w:val="24"/>
          <w:szCs w:val="24"/>
          <w:lang w:val="de-DE"/>
        </w:rPr>
        <w:t>2.1. Hệ thống xử lý nước thải chăn nuôi qui mô phòng thí nghiệm</w:t>
      </w:r>
    </w:p>
    <w:p w:rsidR="00900886" w:rsidRPr="00900886" w:rsidRDefault="00900886" w:rsidP="00900886">
      <w:pPr>
        <w:pStyle w:val="Style83"/>
        <w:spacing w:before="120" w:after="120"/>
        <w:ind w:firstLine="720"/>
        <w:rPr>
          <w:rFonts w:asciiTheme="majorHAnsi" w:eastAsia="Times New Roman" w:hAnsiTheme="majorHAnsi" w:cstheme="majorHAnsi"/>
          <w:b w:val="0"/>
          <w:sz w:val="24"/>
          <w:szCs w:val="24"/>
          <w:lang w:val="de-DE"/>
        </w:rPr>
      </w:pPr>
      <w:r w:rsidRPr="00900886">
        <w:rPr>
          <w:rFonts w:asciiTheme="majorHAnsi" w:eastAsia="Times New Roman" w:hAnsiTheme="majorHAnsi" w:cstheme="majorHAnsi"/>
          <w:b w:val="0"/>
          <w:color w:val="000000"/>
          <w:sz w:val="24"/>
          <w:szCs w:val="24"/>
          <w:lang w:val="de-DE"/>
        </w:rPr>
        <w:t xml:space="preserve">Để đánh giá năng lực xử lý COD của kỹ thuật tuần hoàn nội, các thí nghiệm được tiến hành trên 02 hệ thí nghiệm: (1) Hệ IC và (2) Hệ ABR (Bồn yếm khí có vách ngăn đảo dòng - Anaerobic Buffle Reactor). </w:t>
      </w:r>
      <w:r w:rsidRPr="00900886">
        <w:rPr>
          <w:rFonts w:asciiTheme="majorHAnsi" w:eastAsia="Times New Roman" w:hAnsiTheme="majorHAnsi" w:cstheme="majorHAnsi"/>
          <w:b w:val="0"/>
          <w:sz w:val="24"/>
          <w:szCs w:val="24"/>
          <w:lang w:val="de-DE"/>
        </w:rPr>
        <w:t>Hệ ABR được cải tiến từ kỹ thuật IC nhằm làm giảm chiều cao đến 2 lần để dễ dàng chế tạo, vận hành và tăng cường khả năng tách bùn sau xử lý do bố trí thêm một cột phản ứng đóng vai trò cột sơ lắng phía trước và một cột lắng phía sau.</w:t>
      </w:r>
    </w:p>
    <w:p w:rsidR="00900886" w:rsidRPr="00900886" w:rsidRDefault="00900886" w:rsidP="00900886">
      <w:pPr>
        <w:pStyle w:val="Style83"/>
        <w:spacing w:before="120" w:after="120"/>
        <w:ind w:firstLine="720"/>
        <w:rPr>
          <w:rFonts w:asciiTheme="majorHAnsi" w:hAnsiTheme="majorHAnsi" w:cstheme="majorHAnsi"/>
          <w:b w:val="0"/>
          <w:sz w:val="24"/>
          <w:szCs w:val="24"/>
          <w:lang w:val="de-DE"/>
        </w:rPr>
      </w:pPr>
      <w:r w:rsidRPr="00900886">
        <w:rPr>
          <w:rFonts w:asciiTheme="majorHAnsi" w:hAnsiTheme="majorHAnsi" w:cstheme="majorHAnsi"/>
          <w:b w:val="0"/>
          <w:sz w:val="24"/>
          <w:szCs w:val="24"/>
          <w:lang w:val="de-DE"/>
        </w:rPr>
        <w:t xml:space="preserve">Hệ IC được thiết kế có 01 cột phản ứng với đường kính 0,14m, cao 2m, ứng với thể tích </w:t>
      </w:r>
      <w:r w:rsidRPr="00900886">
        <w:rPr>
          <w:rFonts w:asciiTheme="majorHAnsi" w:hAnsiTheme="majorHAnsi" w:cstheme="majorHAnsi"/>
          <w:b w:val="0"/>
          <w:sz w:val="24"/>
          <w:szCs w:val="24"/>
          <w:lang w:val="de-DE"/>
        </w:rPr>
        <w:lastRenderedPageBreak/>
        <w:t>V = 30 lít (hình 1)</w:t>
      </w:r>
      <w:r w:rsidRPr="00900886">
        <w:rPr>
          <w:rFonts w:asciiTheme="majorHAnsi" w:hAnsiTheme="majorHAnsi" w:cstheme="majorHAnsi"/>
          <w:b w:val="0"/>
          <w:sz w:val="24"/>
          <w:szCs w:val="24"/>
          <w:lang w:val="vi-VN"/>
        </w:rPr>
        <w:t>.</w:t>
      </w:r>
      <w:r w:rsidRPr="00900886">
        <w:rPr>
          <w:rFonts w:asciiTheme="majorHAnsi" w:hAnsiTheme="majorHAnsi" w:cstheme="majorHAnsi"/>
          <w:b w:val="0"/>
          <w:sz w:val="24"/>
          <w:szCs w:val="24"/>
          <w:lang w:val="de-DE"/>
        </w:rPr>
        <w:t xml:space="preserve"> </w:t>
      </w:r>
      <w:r w:rsidRPr="00900886">
        <w:rPr>
          <w:rFonts w:asciiTheme="majorHAnsi" w:hAnsiTheme="majorHAnsi" w:cstheme="majorHAnsi"/>
          <w:b w:val="0"/>
          <w:noProof/>
          <w:sz w:val="24"/>
          <w:szCs w:val="24"/>
          <w:lang w:val="de-DE"/>
        </w:rPr>
        <w:t xml:space="preserve">Hệ ABR được thiết kế có 04 </w:t>
      </w:r>
      <w:r w:rsidRPr="00900886">
        <w:rPr>
          <w:rFonts w:asciiTheme="majorHAnsi" w:hAnsiTheme="majorHAnsi" w:cstheme="majorHAnsi"/>
          <w:b w:val="0"/>
          <w:sz w:val="24"/>
          <w:szCs w:val="24"/>
          <w:lang w:val="de-DE"/>
        </w:rPr>
        <w:t>cột phản ứng với đường kính 0,14m và cao 1m, chiều cao mức nước ra tương ứng với 4 cột là 0,94; 0,89; 0,84 và 0,79m ứng với tổng thể tích V = 52 lít (hình 2)</w:t>
      </w:r>
      <w:r w:rsidRPr="00900886">
        <w:rPr>
          <w:rFonts w:asciiTheme="majorHAnsi" w:hAnsiTheme="majorHAnsi" w:cstheme="majorHAnsi"/>
          <w:b w:val="0"/>
          <w:sz w:val="24"/>
          <w:szCs w:val="24"/>
          <w:lang w:val="vi-VN"/>
        </w:rPr>
        <w:t>.</w:t>
      </w:r>
    </w:p>
    <w:p w:rsidR="00900886" w:rsidRPr="00900886" w:rsidRDefault="00900886" w:rsidP="00900886">
      <w:pPr>
        <w:spacing w:before="120" w:after="120" w:line="240" w:lineRule="auto"/>
        <w:ind w:firstLine="720"/>
        <w:rPr>
          <w:rFonts w:asciiTheme="majorHAnsi" w:hAnsiTheme="majorHAnsi" w:cstheme="majorHAnsi"/>
          <w:b/>
          <w:sz w:val="24"/>
          <w:szCs w:val="24"/>
          <w:lang w:val="de-DE"/>
        </w:rPr>
      </w:pPr>
      <w:r w:rsidRPr="00900886">
        <w:rPr>
          <w:rFonts w:asciiTheme="majorHAnsi" w:hAnsiTheme="majorHAnsi" w:cstheme="majorHAnsi"/>
          <w:sz w:val="24"/>
          <w:szCs w:val="24"/>
          <w:lang w:val="de-DE"/>
        </w:rPr>
        <w:t>Hai hệ đều vận hành ở điều kiện thường (không điều nhiệt) với thời gian lưu nước (từ 6-24 giờ) và tải lượng COD đầu vào tương đương nhau, và có mật độ bùn ban đầu là 13,3 g/l.</w:t>
      </w:r>
    </w:p>
    <w:tbl>
      <w:tblPr>
        <w:tblW w:w="0" w:type="auto"/>
        <w:tblLook w:val="04A0"/>
      </w:tblPr>
      <w:tblGrid>
        <w:gridCol w:w="4477"/>
        <w:gridCol w:w="281"/>
        <w:gridCol w:w="4484"/>
      </w:tblGrid>
      <w:tr w:rsidR="00900886" w:rsidRPr="00295F0C" w:rsidTr="00900886">
        <w:tc>
          <w:tcPr>
            <w:tcW w:w="4477" w:type="dxa"/>
          </w:tcPr>
          <w:p w:rsidR="00900886" w:rsidRPr="00295F0C" w:rsidRDefault="00C218CC" w:rsidP="00F30E22">
            <w:pPr>
              <w:pStyle w:val="Style83"/>
              <w:spacing w:before="120" w:after="120"/>
              <w:jc w:val="center"/>
              <w:rPr>
                <w:b w:val="0"/>
                <w:i/>
                <w:sz w:val="24"/>
                <w:szCs w:val="24"/>
              </w:rPr>
            </w:pPr>
            <w:r w:rsidRPr="00C218CC">
              <w:rPr>
                <w:noProof/>
                <w:lang w:val="vi-VN" w:eastAsia="vi-VN"/>
              </w:rPr>
              <w:pict>
                <v:group id="_x0000_s1028" style="position:absolute;left:0;text-align:left;margin-left:-11.65pt;margin-top:8.85pt;width:206.4pt;height:191.7pt;z-index:251660288" coordorigin="5956,3826" coordsize="4128,3834">
                  <v:shapetype id="_x0000_t202" coordsize="21600,21600" o:spt="202" path="m,l,21600r21600,l21600,xe">
                    <v:stroke joinstyle="miter"/>
                    <v:path gradientshapeok="t" o:connecttype="rect"/>
                  </v:shapetype>
                  <v:shape id="Text Box 2" o:spid="_x0000_s1029" type="#_x0000_t202" style="position:absolute;left:5956;top:7232;width:1052;height:4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filled="f" stroked="f">
                    <v:textbox style="mso-next-textbox:#Text Box 2">
                      <w:txbxContent>
                        <w:p w:rsidR="00900886" w:rsidRPr="006502E8" w:rsidRDefault="00900886" w:rsidP="00900886">
                          <w:pPr>
                            <w:jc w:val="center"/>
                            <w:rPr>
                              <w:sz w:val="16"/>
                              <w:szCs w:val="16"/>
                            </w:rPr>
                          </w:pPr>
                          <w:r w:rsidRPr="006502E8">
                            <w:rPr>
                              <w:sz w:val="16"/>
                              <w:szCs w:val="16"/>
                            </w:rPr>
                            <w:t>Nước thải</w:t>
                          </w:r>
                        </w:p>
                      </w:txbxContent>
                    </v:textbox>
                  </v:shape>
                  <v:shape id="_x0000_s1030" type="#_x0000_t202" style="position:absolute;left:7120;top:6791;width:570;height:435" filled="f" stroked="f">
                    <v:textbox style="mso-next-textbox:#_x0000_s1030">
                      <w:txbxContent>
                        <w:p w:rsidR="00900886" w:rsidRPr="0026454C" w:rsidRDefault="00900886" w:rsidP="00900886">
                          <w:pPr>
                            <w:jc w:val="center"/>
                            <w:rPr>
                              <w:sz w:val="16"/>
                              <w:szCs w:val="16"/>
                            </w:rPr>
                          </w:pPr>
                          <w:r>
                            <w:rPr>
                              <w:sz w:val="16"/>
                              <w:szCs w:val="16"/>
                            </w:rPr>
                            <w:t>(</w:t>
                          </w:r>
                          <w:r w:rsidRPr="0026454C">
                            <w:rPr>
                              <w:sz w:val="16"/>
                              <w:szCs w:val="16"/>
                            </w:rPr>
                            <w:t>1</w:t>
                          </w:r>
                          <w:r>
                            <w:rPr>
                              <w:sz w:val="16"/>
                              <w:szCs w:val="16"/>
                            </w:rPr>
                            <w:t>)</w:t>
                          </w:r>
                        </w:p>
                      </w:txbxContent>
                    </v:textbox>
                  </v:shape>
                  <v:shape id="_x0000_s1031" type="#_x0000_t202" style="position:absolute;left:8468;top:6640;width:564;height:452" filled="f" stroked="f">
                    <v:textbox style="mso-next-textbox:#_x0000_s1031">
                      <w:txbxContent>
                        <w:p w:rsidR="00900886" w:rsidRPr="0026454C" w:rsidRDefault="00900886" w:rsidP="00900886">
                          <w:pPr>
                            <w:rPr>
                              <w:sz w:val="16"/>
                            </w:rPr>
                          </w:pPr>
                          <w:r w:rsidRPr="0026454C">
                            <w:rPr>
                              <w:sz w:val="16"/>
                            </w:rPr>
                            <w:t>(</w:t>
                          </w:r>
                          <w:r>
                            <w:rPr>
                              <w:sz w:val="16"/>
                            </w:rPr>
                            <w:t>8</w:t>
                          </w:r>
                          <w:r w:rsidRPr="0026454C">
                            <w:rPr>
                              <w:sz w:val="16"/>
                            </w:rPr>
                            <w:t>)</w:t>
                          </w:r>
                        </w:p>
                      </w:txbxContent>
                    </v:textbox>
                  </v:shape>
                  <v:shape id="_x0000_s1032" type="#_x0000_t202" style="position:absolute;left:7401;top:6012;width:534;height:486" filled="f" stroked="f">
                    <v:textbox style="mso-next-textbox:#_x0000_s1032">
                      <w:txbxContent>
                        <w:p w:rsidR="00900886" w:rsidRPr="00DE36A7" w:rsidRDefault="00900886" w:rsidP="00900886">
                          <w:pPr>
                            <w:rPr>
                              <w:sz w:val="16"/>
                            </w:rPr>
                          </w:pPr>
                          <w:r w:rsidRPr="00DE36A7">
                            <w:rPr>
                              <w:sz w:val="16"/>
                            </w:rPr>
                            <w:t>(2)</w:t>
                          </w:r>
                        </w:p>
                      </w:txbxContent>
                    </v:textbox>
                  </v:shape>
                  <v:shape id="_x0000_s1033" type="#_x0000_t202" style="position:absolute;left:7008;top:6220;width:538;height:386" filled="f" stroked="f">
                    <v:textbox style="mso-next-textbox:#_x0000_s1033">
                      <w:txbxContent>
                        <w:p w:rsidR="00900886" w:rsidRPr="00DE36A7" w:rsidRDefault="00900886" w:rsidP="00900886">
                          <w:pPr>
                            <w:rPr>
                              <w:sz w:val="16"/>
                            </w:rPr>
                          </w:pPr>
                          <w:r w:rsidRPr="00DE36A7">
                            <w:rPr>
                              <w:sz w:val="16"/>
                            </w:rPr>
                            <w:t>(3)</w:t>
                          </w:r>
                        </w:p>
                      </w:txbxContent>
                    </v:textbox>
                  </v:shape>
                  <v:shape id="_x0000_s1034" type="#_x0000_t202" style="position:absolute;left:7396;top:4630;width:530;height:368" filled="f" stroked="f">
                    <v:textbox style="mso-next-textbox:#_x0000_s1034">
                      <w:txbxContent>
                        <w:p w:rsidR="00900886" w:rsidRPr="00DE36A7" w:rsidRDefault="00900886" w:rsidP="00900886">
                          <w:pPr>
                            <w:rPr>
                              <w:sz w:val="16"/>
                            </w:rPr>
                          </w:pPr>
                          <w:r w:rsidRPr="00DE36A7">
                            <w:rPr>
                              <w:sz w:val="16"/>
                            </w:rPr>
                            <w:t>(4)</w:t>
                          </w:r>
                        </w:p>
                      </w:txbxContent>
                    </v:textbox>
                  </v:shape>
                  <v:shape id="_x0000_s1035" type="#_x0000_t202" style="position:absolute;left:7486;top:4095;width:518;height:468" filled="f" stroked="f">
                    <v:textbox style="mso-next-textbox:#_x0000_s1035">
                      <w:txbxContent>
                        <w:p w:rsidR="00900886" w:rsidRPr="00DE36A7" w:rsidRDefault="00900886" w:rsidP="00900886">
                          <w:pPr>
                            <w:rPr>
                              <w:sz w:val="16"/>
                            </w:rPr>
                          </w:pPr>
                          <w:r w:rsidRPr="00DE36A7">
                            <w:rPr>
                              <w:sz w:val="16"/>
                            </w:rPr>
                            <w:t>(5)</w:t>
                          </w:r>
                        </w:p>
                      </w:txbxContent>
                    </v:textbox>
                  </v:shape>
                  <v:shape id="_x0000_s1036" type="#_x0000_t202" style="position:absolute;left:9531;top:4248;width:553;height:384" filled="f" stroked="f">
                    <v:textbox style="mso-next-textbox:#_x0000_s1036">
                      <w:txbxContent>
                        <w:p w:rsidR="00900886" w:rsidRPr="00DE36A7" w:rsidRDefault="00900886" w:rsidP="00900886">
                          <w:pPr>
                            <w:rPr>
                              <w:sz w:val="16"/>
                            </w:rPr>
                          </w:pPr>
                          <w:r w:rsidRPr="00DE36A7">
                            <w:rPr>
                              <w:sz w:val="16"/>
                            </w:rPr>
                            <w:t>(6)</w:t>
                          </w:r>
                        </w:p>
                      </w:txbxContent>
                    </v:textbox>
                  </v:shape>
                  <v:shape id="_x0000_s1037" type="#_x0000_t202" style="position:absolute;left:8961;top:4665;width:502;height:395" filled="f" stroked="f">
                    <v:textbox style="mso-next-textbox:#_x0000_s1037">
                      <w:txbxContent>
                        <w:p w:rsidR="00900886" w:rsidRPr="00DE36A7" w:rsidRDefault="00900886" w:rsidP="00900886">
                          <w:pPr>
                            <w:rPr>
                              <w:sz w:val="16"/>
                            </w:rPr>
                          </w:pPr>
                          <w:r w:rsidRPr="00DE36A7">
                            <w:rPr>
                              <w:sz w:val="16"/>
                            </w:rPr>
                            <w:t>(7)</w:t>
                          </w:r>
                        </w:p>
                      </w:txbxContent>
                    </v:textbox>
                  </v:shape>
                  <v:shape id="_x0000_s1038" type="#_x0000_t202" style="position:absolute;left:8201;top:3826;width:536;height:422" filled="f" stroked="f">
                    <v:textbox style="mso-next-textbox:#_x0000_s1038">
                      <w:txbxContent>
                        <w:p w:rsidR="00900886" w:rsidRPr="00DE36A7" w:rsidRDefault="00900886" w:rsidP="00900886">
                          <w:pPr>
                            <w:rPr>
                              <w:sz w:val="16"/>
                            </w:rPr>
                          </w:pPr>
                          <w:r w:rsidRPr="00DE36A7">
                            <w:rPr>
                              <w:sz w:val="16"/>
                            </w:rPr>
                            <w:t>(9)</w:t>
                          </w:r>
                        </w:p>
                      </w:txbxContent>
                    </v:textbox>
                  </v:shape>
                  <v:shape id="_x0000_s1039" type="#_x0000_t202" style="position:absolute;left:8183;top:4979;width:991;height:414" filled="f" stroked="f">
                    <v:textbox style="mso-next-textbox:#_x0000_s1039">
                      <w:txbxContent>
                        <w:p w:rsidR="00900886" w:rsidRPr="006D3E08" w:rsidRDefault="00900886" w:rsidP="00900886">
                          <w:pPr>
                            <w:rPr>
                              <w:sz w:val="16"/>
                            </w:rPr>
                          </w:pPr>
                          <w:r w:rsidRPr="006D3E08">
                            <w:rPr>
                              <w:sz w:val="16"/>
                            </w:rPr>
                            <w:t>L</w:t>
                          </w:r>
                          <w:r>
                            <w:rPr>
                              <w:sz w:val="16"/>
                            </w:rPr>
                            <w:t>ấ</w:t>
                          </w:r>
                          <w:r w:rsidRPr="006D3E08">
                            <w:rPr>
                              <w:sz w:val="16"/>
                            </w:rPr>
                            <w:t>y mẫu</w:t>
                          </w:r>
                        </w:p>
                      </w:txbxContent>
                    </v:textbox>
                  </v:shape>
                  <v:shape id="_x0000_s1040" type="#_x0000_t202" style="position:absolute;left:9171;top:3945;width:904;height:422" filled="f" stroked="f">
                    <v:textbox style="mso-next-textbox:#_x0000_s1040">
                      <w:txbxContent>
                        <w:p w:rsidR="00900886" w:rsidRPr="001768BD" w:rsidRDefault="00900886" w:rsidP="00900886">
                          <w:pPr>
                            <w:rPr>
                              <w:sz w:val="16"/>
                            </w:rPr>
                          </w:pPr>
                          <w:r w:rsidRPr="001768BD">
                            <w:rPr>
                              <w:sz w:val="16"/>
                            </w:rPr>
                            <w:t>xử lý khí</w:t>
                          </w:r>
                        </w:p>
                      </w:txbxContent>
                    </v:textbox>
                  </v:shape>
                  <v:shape id="_x0000_s1041" type="#_x0000_t202" style="position:absolute;left:7485;top:7022;width:570;height:435" filled="f" stroked="f">
                    <v:textbox style="mso-next-textbox:#_x0000_s1041">
                      <w:txbxContent>
                        <w:p w:rsidR="00900886" w:rsidRPr="0026454C" w:rsidRDefault="00900886" w:rsidP="00900886">
                          <w:pPr>
                            <w:jc w:val="center"/>
                            <w:rPr>
                              <w:sz w:val="16"/>
                              <w:szCs w:val="16"/>
                            </w:rPr>
                          </w:pPr>
                          <w:r>
                            <w:rPr>
                              <w:sz w:val="16"/>
                              <w:szCs w:val="16"/>
                            </w:rPr>
                            <w:t>(</w:t>
                          </w:r>
                          <w:r w:rsidRPr="0026454C">
                            <w:rPr>
                              <w:sz w:val="16"/>
                              <w:szCs w:val="16"/>
                            </w:rPr>
                            <w:t>1</w:t>
                          </w:r>
                          <w:r>
                            <w:rPr>
                              <w:sz w:val="16"/>
                              <w:szCs w:val="16"/>
                            </w:rPr>
                            <w:t>0)</w:t>
                          </w:r>
                        </w:p>
                      </w:txbxContent>
                    </v:textbox>
                  </v:shape>
                </v:group>
              </w:pict>
            </w:r>
            <w:r w:rsidR="00900886">
              <w:rPr>
                <w:noProof/>
                <w:lang w:val="vi-VN" w:eastAsia="vi-VN"/>
              </w:rPr>
              <w:drawing>
                <wp:inline distT="0" distB="0" distL="0" distR="0">
                  <wp:extent cx="2165985" cy="243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165985" cy="2432050"/>
                          </a:xfrm>
                          <a:prstGeom prst="rect">
                            <a:avLst/>
                          </a:prstGeom>
                          <a:noFill/>
                        </pic:spPr>
                      </pic:pic>
                    </a:graphicData>
                  </a:graphic>
                </wp:inline>
              </w:drawing>
            </w:r>
          </w:p>
        </w:tc>
        <w:tc>
          <w:tcPr>
            <w:tcW w:w="281" w:type="dxa"/>
          </w:tcPr>
          <w:p w:rsidR="00900886" w:rsidRPr="00295F0C" w:rsidRDefault="00C218CC" w:rsidP="00F30E22">
            <w:pPr>
              <w:pStyle w:val="Style83"/>
              <w:spacing w:before="120" w:after="120"/>
              <w:jc w:val="center"/>
              <w:rPr>
                <w:b w:val="0"/>
                <w:i/>
                <w:sz w:val="24"/>
                <w:szCs w:val="24"/>
              </w:rPr>
            </w:pPr>
            <w:r>
              <w:rPr>
                <w:b w:val="0"/>
                <w:i/>
                <w:noProof/>
                <w:sz w:val="24"/>
                <w:szCs w:val="24"/>
                <w:lang w:val="vi-VN" w:eastAsia="vi-VN"/>
              </w:rPr>
              <w:pict>
                <v:group id="_x0000_s1042" style="position:absolute;left:0;text-align:left;margin-left:1.95pt;margin-top:4.3pt;width:219.2pt;height:172.65pt;z-index:251661312;mso-position-horizontal-relative:text;mso-position-vertical-relative:text" coordorigin="6005,6695" coordsize="4384,3326">
                  <v:shape id="_x0000_s1043" type="#_x0000_t202" style="position:absolute;left:6005;top:9739;width:927;height:282" filled="f" stroked="f">
                    <v:textbox style="mso-next-textbox:#_x0000_s1043">
                      <w:txbxContent>
                        <w:p w:rsidR="00900886" w:rsidRPr="0026454C" w:rsidRDefault="00900886" w:rsidP="00900886">
                          <w:pPr>
                            <w:jc w:val="right"/>
                            <w:rPr>
                              <w:sz w:val="16"/>
                              <w:szCs w:val="16"/>
                            </w:rPr>
                          </w:pPr>
                          <w:r w:rsidRPr="0026454C">
                            <w:rPr>
                              <w:sz w:val="16"/>
                              <w:szCs w:val="16"/>
                            </w:rPr>
                            <w:t>Nước thải</w:t>
                          </w:r>
                        </w:p>
                      </w:txbxContent>
                    </v:textbox>
                  </v:shape>
                  <v:shape id="_x0000_s1044" type="#_x0000_t202" style="position:absolute;left:6413;top:9138;width:514;height:312" filled="f" stroked="f">
                    <v:textbox style="mso-next-textbox:#_x0000_s1044">
                      <w:txbxContent>
                        <w:p w:rsidR="00900886" w:rsidRPr="00425DB7" w:rsidRDefault="00900886" w:rsidP="00900886">
                          <w:pPr>
                            <w:rPr>
                              <w:sz w:val="16"/>
                            </w:rPr>
                          </w:pPr>
                          <w:r w:rsidRPr="00425DB7">
                            <w:rPr>
                              <w:sz w:val="16"/>
                            </w:rPr>
                            <w:t>(1)</w:t>
                          </w:r>
                        </w:p>
                      </w:txbxContent>
                    </v:textbox>
                  </v:shape>
                  <v:shape id="_x0000_s1045" type="#_x0000_t202" style="position:absolute;left:6668;top:8245;width:483;height:353" filled="f" stroked="f">
                    <v:textbox style="mso-next-textbox:#_x0000_s1045">
                      <w:txbxContent>
                        <w:p w:rsidR="00900886" w:rsidRPr="00425DB7" w:rsidRDefault="00900886" w:rsidP="00900886">
                          <w:pPr>
                            <w:rPr>
                              <w:sz w:val="16"/>
                            </w:rPr>
                          </w:pPr>
                          <w:r w:rsidRPr="00425DB7">
                            <w:rPr>
                              <w:sz w:val="16"/>
                            </w:rPr>
                            <w:t>(</w:t>
                          </w:r>
                          <w:r>
                            <w:rPr>
                              <w:sz w:val="16"/>
                            </w:rPr>
                            <w:t>2</w:t>
                          </w:r>
                          <w:r w:rsidRPr="00425DB7">
                            <w:rPr>
                              <w:sz w:val="16"/>
                            </w:rPr>
                            <w:t>)</w:t>
                          </w:r>
                        </w:p>
                        <w:p w:rsidR="00900886" w:rsidRPr="00CC5EAC" w:rsidRDefault="00900886" w:rsidP="00900886"/>
                      </w:txbxContent>
                    </v:textbox>
                  </v:shape>
                  <v:shape id="_x0000_s1046" type="#_x0000_t202" style="position:absolute;left:8218;top:8247;width:530;height:408" filled="f" stroked="f">
                    <v:textbox style="mso-next-textbox:#_x0000_s1046">
                      <w:txbxContent>
                        <w:p w:rsidR="00900886" w:rsidRPr="00425DB7" w:rsidRDefault="00900886" w:rsidP="00900886">
                          <w:pPr>
                            <w:rPr>
                              <w:sz w:val="16"/>
                            </w:rPr>
                          </w:pPr>
                          <w:r w:rsidRPr="00425DB7">
                            <w:rPr>
                              <w:sz w:val="16"/>
                            </w:rPr>
                            <w:t>(2)</w:t>
                          </w:r>
                        </w:p>
                      </w:txbxContent>
                    </v:textbox>
                  </v:shape>
                  <v:shape id="_x0000_s1047" type="#_x0000_t202" style="position:absolute;left:8902;top:8261;width:517;height:366" filled="f" stroked="f">
                    <v:textbox style="mso-next-textbox:#_x0000_s1047">
                      <w:txbxContent>
                        <w:p w:rsidR="00900886" w:rsidRPr="00425DB7" w:rsidRDefault="00900886" w:rsidP="00900886">
                          <w:pPr>
                            <w:rPr>
                              <w:sz w:val="16"/>
                            </w:rPr>
                          </w:pPr>
                          <w:r w:rsidRPr="00425DB7">
                            <w:rPr>
                              <w:sz w:val="16"/>
                            </w:rPr>
                            <w:t>(3)</w:t>
                          </w:r>
                        </w:p>
                      </w:txbxContent>
                    </v:textbox>
                  </v:shape>
                  <v:shape id="_x0000_s1048" type="#_x0000_t202" style="position:absolute;left:6409;top:8756;width:482;height:324" filled="f" stroked="f">
                    <v:textbox style="mso-next-textbox:#_x0000_s1048">
                      <w:txbxContent>
                        <w:p w:rsidR="00900886" w:rsidRPr="00425DB7" w:rsidRDefault="00900886" w:rsidP="00900886">
                          <w:pPr>
                            <w:rPr>
                              <w:sz w:val="16"/>
                            </w:rPr>
                          </w:pPr>
                          <w:r w:rsidRPr="00425DB7">
                            <w:rPr>
                              <w:sz w:val="16"/>
                            </w:rPr>
                            <w:t>(4)</w:t>
                          </w:r>
                        </w:p>
                      </w:txbxContent>
                    </v:textbox>
                  </v:shape>
                  <v:shape id="_x0000_s1049" type="#_x0000_t202" style="position:absolute;left:6663;top:7543;width:523;height:423" filled="f" stroked="f">
                    <v:textbox style="mso-next-textbox:#_x0000_s1049">
                      <w:txbxContent>
                        <w:p w:rsidR="00900886" w:rsidRPr="00425DB7" w:rsidRDefault="00900886" w:rsidP="00900886">
                          <w:pPr>
                            <w:rPr>
                              <w:sz w:val="16"/>
                            </w:rPr>
                          </w:pPr>
                          <w:r w:rsidRPr="00425DB7">
                            <w:rPr>
                              <w:sz w:val="16"/>
                            </w:rPr>
                            <w:t>(5)</w:t>
                          </w:r>
                        </w:p>
                      </w:txbxContent>
                    </v:textbox>
                  </v:shape>
                  <v:shape id="_x0000_s1050" type="#_x0000_t202" style="position:absolute;left:6702;top:7053;width:483;height:323" filled="f" stroked="f">
                    <v:textbox style="mso-next-textbox:#_x0000_s1050">
                      <w:txbxContent>
                        <w:p w:rsidR="00900886" w:rsidRPr="00425DB7" w:rsidRDefault="00900886" w:rsidP="00900886">
                          <w:pPr>
                            <w:rPr>
                              <w:sz w:val="16"/>
                            </w:rPr>
                          </w:pPr>
                          <w:r w:rsidRPr="00425DB7">
                            <w:rPr>
                              <w:sz w:val="16"/>
                            </w:rPr>
                            <w:t>(6)</w:t>
                          </w:r>
                        </w:p>
                      </w:txbxContent>
                    </v:textbox>
                  </v:shape>
                  <v:shape id="_x0000_s1051" type="#_x0000_t202" style="position:absolute;left:9842;top:7433;width:547;height:308" filled="f" stroked="f">
                    <v:textbox style="mso-next-textbox:#_x0000_s1051">
                      <w:txbxContent>
                        <w:p w:rsidR="00900886" w:rsidRPr="00425DB7" w:rsidRDefault="00900886" w:rsidP="00900886">
                          <w:pPr>
                            <w:rPr>
                              <w:sz w:val="16"/>
                            </w:rPr>
                          </w:pPr>
                          <w:r w:rsidRPr="00425DB7">
                            <w:rPr>
                              <w:sz w:val="16"/>
                            </w:rPr>
                            <w:t>(7)</w:t>
                          </w:r>
                        </w:p>
                      </w:txbxContent>
                    </v:textbox>
                  </v:shape>
                  <v:shape id="_x0000_s1052" type="#_x0000_t202" style="position:absolute;left:9512;top:7825;width:531;height:349" filled="f" stroked="f">
                    <v:textbox style="mso-next-textbox:#_x0000_s1052">
                      <w:txbxContent>
                        <w:p w:rsidR="00900886" w:rsidRPr="006D3E08" w:rsidRDefault="00900886" w:rsidP="00900886">
                          <w:pPr>
                            <w:rPr>
                              <w:sz w:val="16"/>
                            </w:rPr>
                          </w:pPr>
                          <w:r w:rsidRPr="006D3E08">
                            <w:rPr>
                              <w:sz w:val="16"/>
                            </w:rPr>
                            <w:t>(8)</w:t>
                          </w:r>
                        </w:p>
                      </w:txbxContent>
                    </v:textbox>
                  </v:shape>
                  <v:shape id="_x0000_s1053" type="#_x0000_t202" style="position:absolute;left:7582;top:9335;width:543;height:377" filled="f" stroked="f">
                    <v:textbox style="mso-next-textbox:#_x0000_s1053">
                      <w:txbxContent>
                        <w:p w:rsidR="00900886" w:rsidRPr="006D3E08" w:rsidRDefault="00900886" w:rsidP="00900886">
                          <w:pPr>
                            <w:rPr>
                              <w:sz w:val="16"/>
                            </w:rPr>
                          </w:pPr>
                          <w:r w:rsidRPr="006D3E08">
                            <w:rPr>
                              <w:sz w:val="16"/>
                            </w:rPr>
                            <w:t>(9)</w:t>
                          </w:r>
                        </w:p>
                      </w:txbxContent>
                    </v:textbox>
                  </v:shape>
                  <v:shape id="_x0000_s1054" type="#_x0000_t202" style="position:absolute;left:8389;top:6813;width:611;height:355" filled="f" stroked="f">
                    <v:textbox style="mso-next-textbox:#_x0000_s1054">
                      <w:txbxContent>
                        <w:p w:rsidR="00900886" w:rsidRPr="006D3E08" w:rsidRDefault="00900886" w:rsidP="00900886">
                          <w:pPr>
                            <w:rPr>
                              <w:sz w:val="16"/>
                            </w:rPr>
                          </w:pPr>
                          <w:r w:rsidRPr="006D3E08">
                            <w:rPr>
                              <w:sz w:val="16"/>
                            </w:rPr>
                            <w:t>(10)</w:t>
                          </w:r>
                        </w:p>
                      </w:txbxContent>
                    </v:textbox>
                  </v:shape>
                  <v:shape id="_x0000_s1055" type="#_x0000_t202" style="position:absolute;left:9424;top:6695;width:932;height:323" filled="f" stroked="f">
                    <v:textbox style="mso-next-textbox:#_x0000_s1055">
                      <w:txbxContent>
                        <w:p w:rsidR="00900886" w:rsidRPr="001768BD" w:rsidRDefault="00900886" w:rsidP="00900886">
                          <w:pPr>
                            <w:rPr>
                              <w:sz w:val="16"/>
                            </w:rPr>
                          </w:pPr>
                          <w:r w:rsidRPr="001768BD">
                            <w:rPr>
                              <w:sz w:val="16"/>
                            </w:rPr>
                            <w:t>xử lý khí</w:t>
                          </w:r>
                        </w:p>
                      </w:txbxContent>
                    </v:textbox>
                  </v:shape>
                  <v:shape id="_x0000_s1056" type="#_x0000_t202" style="position:absolute;left:8960;top:9205;width:611;height:355" filled="f" stroked="f">
                    <v:textbox style="mso-next-textbox:#_x0000_s1056">
                      <w:txbxContent>
                        <w:p w:rsidR="00900886" w:rsidRPr="006D3E08" w:rsidRDefault="00900886" w:rsidP="00900886">
                          <w:pPr>
                            <w:rPr>
                              <w:sz w:val="16"/>
                            </w:rPr>
                          </w:pPr>
                          <w:r w:rsidRPr="006D3E08">
                            <w:rPr>
                              <w:sz w:val="16"/>
                            </w:rPr>
                            <w:t>(1</w:t>
                          </w:r>
                          <w:r>
                            <w:rPr>
                              <w:sz w:val="16"/>
                            </w:rPr>
                            <w:t>1</w:t>
                          </w:r>
                          <w:r w:rsidRPr="006D3E08">
                            <w:rPr>
                              <w:sz w:val="16"/>
                            </w:rPr>
                            <w:t>)</w:t>
                          </w:r>
                        </w:p>
                      </w:txbxContent>
                    </v:textbox>
                  </v:shape>
                </v:group>
              </w:pict>
            </w:r>
          </w:p>
        </w:tc>
        <w:tc>
          <w:tcPr>
            <w:tcW w:w="4484" w:type="dxa"/>
          </w:tcPr>
          <w:p w:rsidR="00900886" w:rsidRPr="00295F0C" w:rsidRDefault="00900886" w:rsidP="00F30E22">
            <w:pPr>
              <w:pStyle w:val="Style83"/>
              <w:spacing w:before="120" w:after="120"/>
              <w:jc w:val="center"/>
              <w:rPr>
                <w:b w:val="0"/>
                <w:i/>
                <w:sz w:val="24"/>
                <w:szCs w:val="24"/>
              </w:rPr>
            </w:pPr>
            <w:r>
              <w:rPr>
                <w:b w:val="0"/>
                <w:i/>
                <w:noProof/>
                <w:sz w:val="24"/>
                <w:szCs w:val="24"/>
                <w:lang w:val="vi-VN" w:eastAsia="vi-VN"/>
              </w:rPr>
              <w:drawing>
                <wp:inline distT="0" distB="0" distL="0" distR="0">
                  <wp:extent cx="2324735" cy="2116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324735" cy="2116455"/>
                          </a:xfrm>
                          <a:prstGeom prst="rect">
                            <a:avLst/>
                          </a:prstGeom>
                          <a:noFill/>
                        </pic:spPr>
                      </pic:pic>
                    </a:graphicData>
                  </a:graphic>
                </wp:inline>
              </w:drawing>
            </w:r>
          </w:p>
        </w:tc>
      </w:tr>
      <w:tr w:rsidR="00900886" w:rsidRPr="00295F0C" w:rsidTr="00900886">
        <w:tc>
          <w:tcPr>
            <w:tcW w:w="4477" w:type="dxa"/>
          </w:tcPr>
          <w:p w:rsidR="00900886" w:rsidRPr="00900886" w:rsidRDefault="00900886" w:rsidP="00F30E22">
            <w:pPr>
              <w:pStyle w:val="Style83"/>
              <w:spacing w:before="120" w:after="120"/>
              <w:rPr>
                <w:b w:val="0"/>
                <w:i/>
                <w:sz w:val="18"/>
                <w:szCs w:val="18"/>
                <w:lang w:val="vi-VN"/>
              </w:rPr>
            </w:pPr>
            <w:r w:rsidRPr="00F94AF3">
              <w:rPr>
                <w:b w:val="0"/>
                <w:sz w:val="18"/>
                <w:szCs w:val="18"/>
                <w:lang w:val="de-DE"/>
              </w:rPr>
              <w:t>Chú thích: (1) Bơm định lượng; (2) Cột phản ứng; (3) Đường nước vào; (4) Hệ tách 3 pha khí/lỏng/rắn (K/L/R); (5) Bộ tách khí; (6) Đường nước ra; (7) Bồn chứa nước ra; (8) Bơm tuần hoàn; (9) Đường khí ra và (10) Van xả bùn</w:t>
            </w:r>
          </w:p>
        </w:tc>
        <w:tc>
          <w:tcPr>
            <w:tcW w:w="281" w:type="dxa"/>
          </w:tcPr>
          <w:p w:rsidR="00900886" w:rsidRPr="00900886" w:rsidRDefault="00900886" w:rsidP="00F30E22">
            <w:pPr>
              <w:pStyle w:val="Style83"/>
              <w:spacing w:before="120" w:after="120"/>
              <w:jc w:val="center"/>
              <w:rPr>
                <w:b w:val="0"/>
                <w:i/>
                <w:sz w:val="24"/>
                <w:szCs w:val="24"/>
                <w:lang w:val="vi-VN"/>
              </w:rPr>
            </w:pPr>
          </w:p>
        </w:tc>
        <w:tc>
          <w:tcPr>
            <w:tcW w:w="4484" w:type="dxa"/>
          </w:tcPr>
          <w:p w:rsidR="00900886" w:rsidRPr="00900886" w:rsidRDefault="00900886" w:rsidP="00F30E22">
            <w:pPr>
              <w:pStyle w:val="Style83"/>
              <w:spacing w:before="120" w:after="120"/>
              <w:rPr>
                <w:b w:val="0"/>
                <w:i/>
                <w:sz w:val="18"/>
                <w:szCs w:val="18"/>
                <w:lang w:val="vi-VN"/>
              </w:rPr>
            </w:pPr>
            <w:r w:rsidRPr="00F94AF3">
              <w:rPr>
                <w:b w:val="0"/>
                <w:sz w:val="18"/>
                <w:szCs w:val="18"/>
                <w:lang w:val="de-DE"/>
              </w:rPr>
              <w:t>Chú thích: (1) Bơm định lượng; (2) 03 Cột phản ứng; (3) Bồn lắng; (4) Đường nước vào; (5) Hệ tách 3 pha K/L/R; (6) Bộ tách khí; (7) Đường nước ra; (8) Bồn chứa nước ra; (9) Bơm tuần hoàn; (10) Đường khí ra và (11) Van xả bùn</w:t>
            </w:r>
          </w:p>
        </w:tc>
      </w:tr>
      <w:tr w:rsidR="00900886" w:rsidRPr="00295F0C" w:rsidTr="00900886">
        <w:tc>
          <w:tcPr>
            <w:tcW w:w="4477" w:type="dxa"/>
          </w:tcPr>
          <w:p w:rsidR="00900886" w:rsidRPr="00900886" w:rsidRDefault="00900886" w:rsidP="00F30E22">
            <w:pPr>
              <w:pStyle w:val="Style83"/>
              <w:spacing w:before="120" w:after="120"/>
              <w:jc w:val="center"/>
              <w:rPr>
                <w:i/>
                <w:lang w:val="vi-VN"/>
              </w:rPr>
            </w:pPr>
            <w:r w:rsidRPr="00F94AF3">
              <w:rPr>
                <w:i/>
                <w:noProof/>
                <w:lang w:val="de-DE"/>
              </w:rPr>
              <w:t>Hình 1: Mô hình hệ IC</w:t>
            </w:r>
          </w:p>
        </w:tc>
        <w:tc>
          <w:tcPr>
            <w:tcW w:w="281" w:type="dxa"/>
          </w:tcPr>
          <w:p w:rsidR="00900886" w:rsidRPr="00900886" w:rsidRDefault="00900886" w:rsidP="00F30E22">
            <w:pPr>
              <w:pStyle w:val="Style83"/>
              <w:spacing w:before="120" w:after="120"/>
              <w:jc w:val="center"/>
              <w:rPr>
                <w:b w:val="0"/>
                <w:i/>
                <w:sz w:val="24"/>
                <w:szCs w:val="24"/>
                <w:lang w:val="vi-VN"/>
              </w:rPr>
            </w:pPr>
          </w:p>
        </w:tc>
        <w:tc>
          <w:tcPr>
            <w:tcW w:w="4484" w:type="dxa"/>
          </w:tcPr>
          <w:p w:rsidR="00900886" w:rsidRPr="00900886" w:rsidRDefault="00900886" w:rsidP="00F30E22">
            <w:pPr>
              <w:pStyle w:val="Style83"/>
              <w:spacing w:before="120" w:after="120"/>
              <w:jc w:val="center"/>
              <w:rPr>
                <w:b w:val="0"/>
                <w:i/>
                <w:sz w:val="24"/>
                <w:szCs w:val="24"/>
                <w:lang w:val="vi-VN"/>
              </w:rPr>
            </w:pPr>
            <w:r w:rsidRPr="00F94AF3">
              <w:rPr>
                <w:i/>
                <w:noProof/>
                <w:lang w:val="de-DE"/>
              </w:rPr>
              <w:t>Hình 2: Mô hình hệ ABR</w:t>
            </w:r>
          </w:p>
        </w:tc>
      </w:tr>
    </w:tbl>
    <w:p w:rsidR="00900886" w:rsidRDefault="00900886" w:rsidP="00900886">
      <w:pPr>
        <w:pStyle w:val="Style83"/>
        <w:spacing w:before="240" w:after="120"/>
        <w:jc w:val="left"/>
        <w:rPr>
          <w:i/>
          <w:sz w:val="24"/>
          <w:szCs w:val="24"/>
          <w:lang w:val="de-DE"/>
        </w:rPr>
      </w:pPr>
      <w:r w:rsidRPr="00F94AF3">
        <w:rPr>
          <w:i/>
          <w:sz w:val="24"/>
          <w:szCs w:val="24"/>
          <w:lang w:val="de-DE"/>
        </w:rPr>
        <w:t>2.</w:t>
      </w:r>
      <w:r>
        <w:rPr>
          <w:i/>
          <w:sz w:val="24"/>
          <w:szCs w:val="24"/>
          <w:lang w:val="de-DE"/>
        </w:rPr>
        <w:t>2</w:t>
      </w:r>
      <w:r w:rsidRPr="00F94AF3">
        <w:rPr>
          <w:i/>
          <w:sz w:val="24"/>
          <w:szCs w:val="24"/>
          <w:lang w:val="de-DE"/>
        </w:rPr>
        <w:t xml:space="preserve">. </w:t>
      </w:r>
      <w:r>
        <w:rPr>
          <w:i/>
          <w:sz w:val="24"/>
          <w:szCs w:val="24"/>
          <w:lang w:val="de-DE"/>
        </w:rPr>
        <w:t>Thực nghiệm</w:t>
      </w:r>
    </w:p>
    <w:p w:rsidR="00900886" w:rsidRPr="00D021D0" w:rsidRDefault="00900886" w:rsidP="00900886">
      <w:pPr>
        <w:pStyle w:val="Style83"/>
        <w:spacing w:before="120" w:after="120"/>
        <w:ind w:firstLine="720"/>
        <w:rPr>
          <w:b w:val="0"/>
          <w:sz w:val="24"/>
          <w:szCs w:val="24"/>
          <w:lang w:val="de-DE"/>
        </w:rPr>
      </w:pPr>
      <w:r w:rsidRPr="00D021D0">
        <w:rPr>
          <w:b w:val="0"/>
          <w:sz w:val="24"/>
          <w:szCs w:val="24"/>
          <w:lang w:val="de-DE"/>
        </w:rPr>
        <w:t xml:space="preserve">Nước thải được lấy từ các hộ nuôi lợn thịt ở thôn Đông Mỹ, Thanh Trì, Hà Nội. Điểm lấy mẫu là hố ga, lấy lúc rửa chuồng với tần suất lấy mẫu 1-3 lần/tuần. Mẫu mang về được lọc cặn bằng rây có kích thước lỗ 2mm sau đó lưu và bồn chứa, nước thải được kiểm tra các chỉ tiêu COD, TSS, hiệu chỉnh nhằm đảm bảo sự ổn định về thành phần và tải lượng COD. Các phương pháp phân tích được thực hiện theo các phương pháp phân tích tiêu chuẩn </w:t>
      </w:r>
      <w:r w:rsidRPr="003B5F39">
        <w:rPr>
          <w:b w:val="0"/>
          <w:color w:val="FF0000"/>
          <w:sz w:val="24"/>
          <w:szCs w:val="24"/>
          <w:lang w:val="de-DE"/>
        </w:rPr>
        <w:t>[5,6]</w:t>
      </w:r>
      <w:r w:rsidRPr="00D021D0">
        <w:rPr>
          <w:b w:val="0"/>
          <w:sz w:val="24"/>
          <w:szCs w:val="24"/>
          <w:lang w:val="de-DE"/>
        </w:rPr>
        <w:t>.</w:t>
      </w:r>
    </w:p>
    <w:p w:rsidR="00900886" w:rsidRPr="00D021D0" w:rsidRDefault="00900886" w:rsidP="00900886">
      <w:pPr>
        <w:pStyle w:val="Style83"/>
        <w:spacing w:before="120" w:after="120"/>
        <w:ind w:firstLine="720"/>
        <w:rPr>
          <w:b w:val="0"/>
          <w:sz w:val="24"/>
          <w:szCs w:val="24"/>
          <w:lang w:val="de-DE"/>
        </w:rPr>
      </w:pPr>
      <w:r w:rsidRPr="00D021D0">
        <w:rPr>
          <w:b w:val="0"/>
          <w:sz w:val="24"/>
          <w:szCs w:val="24"/>
          <w:lang w:val="de-DE"/>
        </w:rPr>
        <w:t>Trên cơ sở kết quả khảo sát và phân tích COD và đánh giá hiệu quả xử lý đối với hai hệ thí nghiệm (IC &amp; ABR), chúng tôi thiết lập mối quan hệ giữa tải lượng với năng suất xử lý và hiệu suất xử lý của COD tổng và COD hòa tan.</w:t>
      </w:r>
    </w:p>
    <w:p w:rsidR="00900886" w:rsidRDefault="00900886" w:rsidP="00900886">
      <w:pPr>
        <w:pStyle w:val="Style83"/>
        <w:spacing w:before="120" w:after="120"/>
        <w:ind w:firstLine="720"/>
        <w:jc w:val="left"/>
        <w:rPr>
          <w:b w:val="0"/>
          <w:sz w:val="24"/>
          <w:szCs w:val="24"/>
          <w:lang w:val="de-DE"/>
        </w:rPr>
      </w:pPr>
      <w:r w:rsidRPr="00D021D0">
        <w:rPr>
          <w:b w:val="0"/>
          <w:sz w:val="24"/>
          <w:szCs w:val="24"/>
          <w:lang w:val="de-DE"/>
        </w:rPr>
        <w:t>Tải lượng (TL- kgCOD/m</w:t>
      </w:r>
      <w:r w:rsidRPr="00D021D0">
        <w:rPr>
          <w:b w:val="0"/>
          <w:sz w:val="24"/>
          <w:szCs w:val="24"/>
          <w:vertAlign w:val="superscript"/>
          <w:lang w:val="de-DE"/>
        </w:rPr>
        <w:t>3</w:t>
      </w:r>
      <w:r w:rsidRPr="00D021D0">
        <w:rPr>
          <w:b w:val="0"/>
          <w:sz w:val="24"/>
          <w:szCs w:val="24"/>
          <w:lang w:val="de-DE"/>
        </w:rPr>
        <w:t>.ngày), năng suất xử lý (NSXL- kgCOD/m</w:t>
      </w:r>
      <w:r w:rsidRPr="00D021D0">
        <w:rPr>
          <w:b w:val="0"/>
          <w:sz w:val="24"/>
          <w:szCs w:val="24"/>
          <w:vertAlign w:val="superscript"/>
          <w:lang w:val="de-DE"/>
        </w:rPr>
        <w:t>3</w:t>
      </w:r>
      <w:r w:rsidRPr="00D021D0">
        <w:rPr>
          <w:b w:val="0"/>
          <w:sz w:val="24"/>
          <w:szCs w:val="24"/>
          <w:lang w:val="de-DE"/>
        </w:rPr>
        <w:t>.ngày) và hiệu suất xử lý (HS - %) được tính theo các công thức sau:</w:t>
      </w:r>
    </w:p>
    <w:p w:rsidR="00900886" w:rsidRPr="00065B22" w:rsidRDefault="00900886" w:rsidP="00900886">
      <w:pPr>
        <w:pStyle w:val="Style84"/>
        <w:spacing w:line="310" w:lineRule="atLeast"/>
        <w:jc w:val="center"/>
        <w:rPr>
          <w:sz w:val="20"/>
          <w:szCs w:val="20"/>
          <w:lang w:val="de-DE"/>
        </w:rPr>
      </w:pPr>
      <w:r w:rsidRPr="00085990">
        <w:rPr>
          <w:position w:val="-24"/>
        </w:rPr>
        <w:object w:dxaOrig="1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27.85pt" o:ole="">
            <v:imagedata r:id="rId10" o:title=""/>
          </v:shape>
          <o:OLEObject Type="Embed" ProgID="Equation.DSMT4" ShapeID="_x0000_i1025" DrawAspect="Content" ObjectID="_1582962258" r:id="rId11"/>
        </w:object>
      </w:r>
      <w:r w:rsidRPr="00065B22">
        <w:rPr>
          <w:sz w:val="20"/>
          <w:szCs w:val="20"/>
          <w:lang w:val="de-DE"/>
        </w:rPr>
        <w:t xml:space="preserve">                                (</w:t>
      </w:r>
      <w:r>
        <w:rPr>
          <w:sz w:val="20"/>
          <w:szCs w:val="20"/>
          <w:lang w:val="de-DE"/>
        </w:rPr>
        <w:t>I</w:t>
      </w:r>
      <w:r w:rsidRPr="00065B22">
        <w:rPr>
          <w:sz w:val="20"/>
          <w:szCs w:val="20"/>
          <w:lang w:val="de-DE"/>
        </w:rPr>
        <w:t>)</w:t>
      </w:r>
    </w:p>
    <w:p w:rsidR="00900886" w:rsidRPr="00065B22" w:rsidRDefault="00900886" w:rsidP="00900886">
      <w:pPr>
        <w:spacing w:before="120" w:after="120"/>
        <w:jc w:val="center"/>
        <w:rPr>
          <w:sz w:val="20"/>
          <w:szCs w:val="20"/>
          <w:lang w:val="de-DE"/>
        </w:rPr>
      </w:pPr>
      <w:r>
        <w:t xml:space="preserve">     </w:t>
      </w:r>
      <w:r w:rsidRPr="00085990">
        <w:rPr>
          <w:position w:val="-12"/>
        </w:rPr>
        <w:object w:dxaOrig="2260" w:dyaOrig="360">
          <v:shape id="_x0000_i1026" type="#_x0000_t75" style="width:107.3pt;height:17pt" o:ole="">
            <v:imagedata r:id="rId12" o:title=""/>
          </v:shape>
          <o:OLEObject Type="Embed" ProgID="Equation.DSMT4" ShapeID="_x0000_i1026" DrawAspect="Content" ObjectID="_1582962259" r:id="rId13"/>
        </w:object>
      </w:r>
      <w:r w:rsidRPr="00065B22">
        <w:rPr>
          <w:sz w:val="20"/>
          <w:szCs w:val="20"/>
          <w:lang w:val="de-DE"/>
        </w:rPr>
        <w:t xml:space="preserve">                       (</w:t>
      </w:r>
      <w:r>
        <w:rPr>
          <w:sz w:val="20"/>
          <w:szCs w:val="20"/>
          <w:lang w:val="de-DE"/>
        </w:rPr>
        <w:t>II</w:t>
      </w:r>
      <w:r w:rsidRPr="00065B22">
        <w:rPr>
          <w:sz w:val="20"/>
          <w:szCs w:val="20"/>
          <w:lang w:val="de-DE"/>
        </w:rPr>
        <w:t>)</w:t>
      </w:r>
    </w:p>
    <w:p w:rsidR="00900886" w:rsidRPr="00065B22" w:rsidRDefault="00900886" w:rsidP="00900886">
      <w:pPr>
        <w:pStyle w:val="Style84"/>
        <w:spacing w:line="310" w:lineRule="atLeast"/>
        <w:jc w:val="center"/>
        <w:rPr>
          <w:sz w:val="20"/>
          <w:szCs w:val="20"/>
          <w:lang w:val="de-DE"/>
        </w:rPr>
      </w:pPr>
      <w:r w:rsidRPr="00085990">
        <w:rPr>
          <w:position w:val="-30"/>
        </w:rPr>
        <w:object w:dxaOrig="2720" w:dyaOrig="680">
          <v:shape id="_x0000_i1027" type="#_x0000_t75" style="width:126.35pt;height:31.9pt" o:ole="">
            <v:imagedata r:id="rId14" o:title=""/>
          </v:shape>
          <o:OLEObject Type="Embed" ProgID="Equation.DSMT4" ShapeID="_x0000_i1027" DrawAspect="Content" ObjectID="_1582962260" r:id="rId15"/>
        </w:object>
      </w:r>
      <w:r w:rsidR="00C218CC" w:rsidRPr="00157793">
        <w:rPr>
          <w:sz w:val="20"/>
          <w:szCs w:val="20"/>
        </w:rPr>
        <w:fldChar w:fldCharType="begin"/>
      </w:r>
      <w:r w:rsidRPr="00065B22">
        <w:rPr>
          <w:sz w:val="20"/>
          <w:szCs w:val="20"/>
          <w:lang w:val="de-DE"/>
        </w:rPr>
        <w:instrText xml:space="preserve"> QUOTE </w:instrText>
      </w:r>
      <m:oMath>
        <m:r>
          <w:rPr>
            <w:rFonts w:ascii="Cambria Math" w:hAnsi="Cambria Math"/>
            <w:sz w:val="20"/>
            <w:szCs w:val="20"/>
          </w:rPr>
          <m:t>HS=</m:t>
        </m:r>
        <m:f>
          <m:fPr>
            <m:ctrlPr>
              <w:rPr>
                <w:rFonts w:ascii="Cambria Math" w:hAnsi="Cambria Math"/>
                <w:i/>
                <w:sz w:val="20"/>
                <w:szCs w:val="20"/>
              </w:rPr>
            </m:ctrlPr>
          </m:fPr>
          <m:num>
            <m:r>
              <w:rPr>
                <w:rFonts w:ascii="Cambria Math" w:hAnsi="Cambria Math"/>
                <w:sz w:val="20"/>
                <w:szCs w:val="20"/>
              </w:rPr>
              <m:t>TLvào-TLra</m:t>
            </m:r>
          </m:num>
          <m:den>
            <m:r>
              <w:rPr>
                <w:rFonts w:ascii="Cambria Math" w:hAnsi="Cambria Math"/>
                <w:sz w:val="20"/>
                <w:szCs w:val="20"/>
              </w:rPr>
              <m:t>TLvào</m:t>
            </m:r>
          </m:den>
        </m:f>
        <m:r>
          <w:rPr>
            <w:rFonts w:ascii="Cambria Math" w:hAnsi="Cambria Math"/>
            <w:sz w:val="20"/>
            <w:szCs w:val="20"/>
          </w:rPr>
          <m:t>*100%</m:t>
        </m:r>
      </m:oMath>
      <w:r w:rsidRPr="00065B22">
        <w:rPr>
          <w:sz w:val="20"/>
          <w:szCs w:val="20"/>
          <w:lang w:val="de-DE"/>
        </w:rPr>
        <w:instrText xml:space="preserve"> </w:instrText>
      </w:r>
      <w:r w:rsidR="00C218CC" w:rsidRPr="00157793">
        <w:rPr>
          <w:sz w:val="20"/>
          <w:szCs w:val="20"/>
        </w:rPr>
        <w:fldChar w:fldCharType="end"/>
      </w:r>
      <w:r w:rsidRPr="00065B22">
        <w:rPr>
          <w:sz w:val="20"/>
          <w:szCs w:val="20"/>
          <w:lang w:val="de-DE"/>
        </w:rPr>
        <w:t xml:space="preserve">              (</w:t>
      </w:r>
      <w:r>
        <w:rPr>
          <w:sz w:val="20"/>
          <w:szCs w:val="20"/>
          <w:lang w:val="de-DE"/>
        </w:rPr>
        <w:t>III</w:t>
      </w:r>
      <w:r w:rsidRPr="00065B22">
        <w:rPr>
          <w:sz w:val="20"/>
          <w:szCs w:val="20"/>
          <w:lang w:val="de-DE"/>
        </w:rPr>
        <w:t>)</w:t>
      </w:r>
    </w:p>
    <w:p w:rsidR="00900886" w:rsidRDefault="00900886" w:rsidP="00900886">
      <w:pPr>
        <w:pStyle w:val="Style84"/>
        <w:spacing w:line="240" w:lineRule="auto"/>
        <w:rPr>
          <w:sz w:val="20"/>
          <w:szCs w:val="20"/>
          <w:lang w:val="de-DE"/>
        </w:rPr>
      </w:pPr>
      <w:r w:rsidRPr="00CD36A4">
        <w:rPr>
          <w:sz w:val="20"/>
          <w:szCs w:val="20"/>
          <w:lang w:val="de-DE"/>
        </w:rPr>
        <w:t>Trong đó:</w:t>
      </w:r>
    </w:p>
    <w:p w:rsidR="00900886" w:rsidRDefault="00900886" w:rsidP="00900886">
      <w:pPr>
        <w:pStyle w:val="Style84"/>
        <w:spacing w:line="240" w:lineRule="auto"/>
        <w:rPr>
          <w:sz w:val="20"/>
          <w:szCs w:val="20"/>
          <w:lang w:val="de-DE"/>
        </w:rPr>
      </w:pPr>
      <w:r w:rsidRPr="00640187">
        <w:rPr>
          <w:sz w:val="20"/>
          <w:szCs w:val="20"/>
          <w:lang w:val="de-DE"/>
        </w:rPr>
        <w:t xml:space="preserve">- Q: </w:t>
      </w:r>
      <w:r>
        <w:rPr>
          <w:sz w:val="20"/>
          <w:szCs w:val="20"/>
          <w:lang w:val="de-DE"/>
        </w:rPr>
        <w:t>L</w:t>
      </w:r>
      <w:r w:rsidRPr="00640187">
        <w:rPr>
          <w:sz w:val="20"/>
          <w:szCs w:val="20"/>
          <w:lang w:val="de-DE"/>
        </w:rPr>
        <w:t>ưu lượng (m</w:t>
      </w:r>
      <w:r w:rsidRPr="00640187">
        <w:rPr>
          <w:sz w:val="20"/>
          <w:szCs w:val="20"/>
          <w:vertAlign w:val="superscript"/>
          <w:lang w:val="de-DE"/>
        </w:rPr>
        <w:t>3</w:t>
      </w:r>
      <w:r w:rsidRPr="00640187">
        <w:rPr>
          <w:sz w:val="20"/>
          <w:szCs w:val="20"/>
          <w:lang w:val="de-DE"/>
        </w:rPr>
        <w:t xml:space="preserve">/ngày) </w:t>
      </w:r>
    </w:p>
    <w:p w:rsidR="00900886" w:rsidRPr="00621667" w:rsidRDefault="00900886" w:rsidP="00900886">
      <w:pPr>
        <w:pStyle w:val="Style84"/>
        <w:spacing w:line="240" w:lineRule="auto"/>
        <w:rPr>
          <w:sz w:val="20"/>
          <w:szCs w:val="20"/>
          <w:lang w:val="de-DE"/>
        </w:rPr>
      </w:pPr>
      <w:r w:rsidRPr="00621667">
        <w:rPr>
          <w:sz w:val="20"/>
          <w:szCs w:val="20"/>
          <w:lang w:val="de-DE"/>
        </w:rPr>
        <w:t>- V: Thể tích phản ứng của hệ xử lý (m</w:t>
      </w:r>
      <w:r w:rsidRPr="00621667">
        <w:rPr>
          <w:sz w:val="20"/>
          <w:szCs w:val="20"/>
          <w:vertAlign w:val="superscript"/>
          <w:lang w:val="de-DE"/>
        </w:rPr>
        <w:t>3</w:t>
      </w:r>
      <w:r w:rsidRPr="00621667">
        <w:rPr>
          <w:sz w:val="20"/>
          <w:szCs w:val="20"/>
          <w:lang w:val="de-DE"/>
        </w:rPr>
        <w:t>).</w:t>
      </w:r>
    </w:p>
    <w:p w:rsidR="00900886" w:rsidRPr="00196467" w:rsidRDefault="00900886" w:rsidP="00900886">
      <w:pPr>
        <w:pStyle w:val="Style84"/>
        <w:spacing w:before="120" w:after="120" w:line="240" w:lineRule="auto"/>
        <w:rPr>
          <w:sz w:val="24"/>
          <w:szCs w:val="24"/>
          <w:lang w:val="de-DE"/>
        </w:rPr>
      </w:pPr>
      <w:r w:rsidRPr="00196467">
        <w:rPr>
          <w:sz w:val="24"/>
          <w:szCs w:val="24"/>
          <w:lang w:val="de-DE"/>
        </w:rPr>
        <w:t>Phương pháp đánh giá sai số NSXL được tính toán thống kê dựa vào các kết quả thí nghiệm lặp lại trên 2 lần sử dụng chuẩn Student, theo công thức:</w:t>
      </w:r>
    </w:p>
    <w:p w:rsidR="00900886" w:rsidRDefault="00900886" w:rsidP="00900886">
      <w:pPr>
        <w:pStyle w:val="Style84"/>
        <w:spacing w:line="310" w:lineRule="atLeast"/>
        <w:jc w:val="center"/>
        <w:rPr>
          <w:sz w:val="20"/>
          <w:szCs w:val="20"/>
          <w:lang w:val="de-DE"/>
        </w:rPr>
      </w:pPr>
      <w:r w:rsidRPr="002A154A">
        <w:rPr>
          <w:position w:val="-28"/>
        </w:rPr>
        <w:object w:dxaOrig="1900" w:dyaOrig="660">
          <v:shape id="_x0000_i1028" type="#_x0000_t75" style="width:90.35pt;height:31.25pt" o:ole="">
            <v:imagedata r:id="rId16" o:title=""/>
          </v:shape>
          <o:OLEObject Type="Embed" ProgID="Equation.DSMT4" ShapeID="_x0000_i1028" DrawAspect="Content" ObjectID="_1582962261" r:id="rId17"/>
        </w:object>
      </w:r>
      <w:r w:rsidRPr="002A154A">
        <w:rPr>
          <w:sz w:val="20"/>
          <w:szCs w:val="20"/>
          <w:lang w:val="de-DE"/>
        </w:rPr>
        <w:t xml:space="preserve"> </w:t>
      </w:r>
      <w:r>
        <w:rPr>
          <w:sz w:val="20"/>
          <w:szCs w:val="20"/>
          <w:lang w:val="de-DE"/>
        </w:rPr>
        <w:t xml:space="preserve">       </w:t>
      </w:r>
      <w:r w:rsidRPr="002A154A">
        <w:rPr>
          <w:sz w:val="20"/>
          <w:szCs w:val="20"/>
          <w:lang w:val="de-DE"/>
        </w:rPr>
        <w:t>với P = 90%</w:t>
      </w:r>
      <w:r>
        <w:rPr>
          <w:sz w:val="20"/>
          <w:szCs w:val="20"/>
          <w:lang w:val="de-DE"/>
        </w:rPr>
        <w:t xml:space="preserve">   </w:t>
      </w:r>
      <w:r w:rsidRPr="002A154A">
        <w:rPr>
          <w:sz w:val="20"/>
          <w:szCs w:val="20"/>
          <w:lang w:val="de-DE"/>
        </w:rPr>
        <w:t>(</w:t>
      </w:r>
      <w:r>
        <w:rPr>
          <w:sz w:val="20"/>
          <w:szCs w:val="20"/>
          <w:lang w:val="de-DE"/>
        </w:rPr>
        <w:t>IV</w:t>
      </w:r>
      <w:r w:rsidRPr="002A154A">
        <w:rPr>
          <w:sz w:val="20"/>
          <w:szCs w:val="20"/>
          <w:lang w:val="de-DE"/>
        </w:rPr>
        <w:t>)</w:t>
      </w:r>
    </w:p>
    <w:p w:rsidR="00900886" w:rsidRPr="00CD36A4" w:rsidRDefault="00900886" w:rsidP="00900886">
      <w:pPr>
        <w:pStyle w:val="Style84"/>
        <w:spacing w:line="240" w:lineRule="auto"/>
        <w:rPr>
          <w:sz w:val="20"/>
          <w:szCs w:val="20"/>
          <w:lang w:val="de-DE"/>
        </w:rPr>
      </w:pPr>
      <w:r w:rsidRPr="00CD36A4">
        <w:rPr>
          <w:sz w:val="20"/>
          <w:szCs w:val="20"/>
          <w:lang w:val="de-DE"/>
        </w:rPr>
        <w:t xml:space="preserve">Trong đó: </w:t>
      </w:r>
    </w:p>
    <w:p w:rsidR="00900886" w:rsidRPr="00CD36A4" w:rsidRDefault="00900886" w:rsidP="00900886">
      <w:pPr>
        <w:pStyle w:val="Style84"/>
        <w:spacing w:line="240" w:lineRule="auto"/>
        <w:rPr>
          <w:sz w:val="20"/>
          <w:szCs w:val="20"/>
          <w:lang w:val="de-DE"/>
        </w:rPr>
      </w:pPr>
      <w:r w:rsidRPr="00CD36A4">
        <w:rPr>
          <w:sz w:val="20"/>
          <w:szCs w:val="20"/>
          <w:lang w:val="de-DE"/>
        </w:rPr>
        <w:t>- X</w:t>
      </w:r>
      <w:r>
        <w:rPr>
          <w:sz w:val="20"/>
          <w:szCs w:val="20"/>
          <w:lang w:val="de-DE"/>
        </w:rPr>
        <w:t>:</w:t>
      </w:r>
      <w:r w:rsidRPr="00CD36A4">
        <w:rPr>
          <w:sz w:val="20"/>
          <w:szCs w:val="20"/>
          <w:lang w:val="de-DE"/>
        </w:rPr>
        <w:t xml:space="preserve"> N</w:t>
      </w:r>
      <w:r>
        <w:rPr>
          <w:sz w:val="20"/>
          <w:szCs w:val="20"/>
          <w:lang w:val="de-DE"/>
        </w:rPr>
        <w:t>ăng suất xử lý</w:t>
      </w:r>
    </w:p>
    <w:p w:rsidR="00900886" w:rsidRPr="00CD36A4" w:rsidRDefault="00900886" w:rsidP="00900886">
      <w:pPr>
        <w:pStyle w:val="Style84"/>
        <w:spacing w:line="240" w:lineRule="auto"/>
        <w:rPr>
          <w:sz w:val="20"/>
          <w:szCs w:val="20"/>
          <w:lang w:val="de-DE"/>
        </w:rPr>
      </w:pPr>
      <w:r w:rsidRPr="00CD36A4">
        <w:rPr>
          <w:sz w:val="20"/>
          <w:szCs w:val="20"/>
          <w:lang w:val="de-DE"/>
        </w:rPr>
        <w:t xml:space="preserve">- </w:t>
      </w:r>
      <w:r w:rsidRPr="00CD36A4">
        <w:rPr>
          <w:position w:val="-4"/>
          <w:sz w:val="20"/>
          <w:szCs w:val="20"/>
        </w:rPr>
        <w:object w:dxaOrig="279" w:dyaOrig="320">
          <v:shape id="_x0000_i1029" type="#_x0000_t75" style="width:10.85pt;height:12.25pt" o:ole="">
            <v:imagedata r:id="rId18" o:title=""/>
          </v:shape>
          <o:OLEObject Type="Embed" ProgID="Equation.DSMT4" ShapeID="_x0000_i1029" DrawAspect="Content" ObjectID="_1582962262" r:id="rId19"/>
        </w:object>
      </w:r>
      <w:r>
        <w:rPr>
          <w:sz w:val="20"/>
          <w:szCs w:val="20"/>
          <w:lang w:val="de-DE"/>
        </w:rPr>
        <w:t>:</w:t>
      </w:r>
      <w:r w:rsidRPr="00CD36A4">
        <w:rPr>
          <w:sz w:val="20"/>
          <w:szCs w:val="20"/>
          <w:lang w:val="de-DE"/>
        </w:rPr>
        <w:t xml:space="preserve"> NSXL trung bình</w:t>
      </w:r>
    </w:p>
    <w:p w:rsidR="00900886" w:rsidRPr="00CD36A4" w:rsidRDefault="00900886" w:rsidP="00900886">
      <w:pPr>
        <w:pStyle w:val="Style84"/>
        <w:spacing w:line="240" w:lineRule="auto"/>
        <w:rPr>
          <w:sz w:val="20"/>
          <w:szCs w:val="20"/>
          <w:lang w:val="de-DE"/>
        </w:rPr>
      </w:pPr>
      <w:r w:rsidRPr="00CD36A4">
        <w:rPr>
          <w:sz w:val="20"/>
          <w:szCs w:val="20"/>
          <w:lang w:val="de-DE"/>
        </w:rPr>
        <w:t>- t</w:t>
      </w:r>
      <w:r w:rsidRPr="00CD36A4">
        <w:rPr>
          <w:sz w:val="20"/>
          <w:szCs w:val="20"/>
          <w:vertAlign w:val="subscript"/>
          <w:lang w:val="de-DE"/>
        </w:rPr>
        <w:t>s</w:t>
      </w:r>
      <w:r>
        <w:rPr>
          <w:sz w:val="20"/>
          <w:szCs w:val="20"/>
          <w:lang w:val="de-DE"/>
        </w:rPr>
        <w:t>:</w:t>
      </w:r>
      <w:r w:rsidRPr="00CD36A4">
        <w:rPr>
          <w:sz w:val="20"/>
          <w:szCs w:val="20"/>
          <w:lang w:val="de-DE"/>
        </w:rPr>
        <w:t xml:space="preserve"> </w:t>
      </w:r>
      <w:r>
        <w:rPr>
          <w:sz w:val="20"/>
          <w:szCs w:val="20"/>
          <w:lang w:val="de-DE"/>
        </w:rPr>
        <w:t>H</w:t>
      </w:r>
      <w:r w:rsidRPr="00CD36A4">
        <w:rPr>
          <w:sz w:val="20"/>
          <w:szCs w:val="20"/>
          <w:lang w:val="de-DE"/>
        </w:rPr>
        <w:t>ệ số phụ thuộc số lần đo lặp n và P</w:t>
      </w:r>
    </w:p>
    <w:p w:rsidR="00900886" w:rsidRDefault="00900886" w:rsidP="00900886">
      <w:pPr>
        <w:pStyle w:val="Style84"/>
        <w:spacing w:line="240" w:lineRule="auto"/>
        <w:rPr>
          <w:sz w:val="20"/>
          <w:szCs w:val="20"/>
          <w:lang w:val="de-DE"/>
        </w:rPr>
      </w:pPr>
      <w:r w:rsidRPr="00CD36A4">
        <w:rPr>
          <w:sz w:val="20"/>
          <w:szCs w:val="20"/>
          <w:lang w:val="de-DE"/>
        </w:rPr>
        <w:t>- s</w:t>
      </w:r>
      <w:r>
        <w:rPr>
          <w:sz w:val="20"/>
          <w:szCs w:val="20"/>
          <w:lang w:val="de-DE"/>
        </w:rPr>
        <w:t>: Đ</w:t>
      </w:r>
      <w:r w:rsidRPr="00CD36A4">
        <w:rPr>
          <w:sz w:val="20"/>
          <w:szCs w:val="20"/>
          <w:lang w:val="de-DE"/>
        </w:rPr>
        <w:t>ộ lệch chuẩn thực nghiệm</w:t>
      </w:r>
    </w:p>
    <w:p w:rsidR="00900886" w:rsidRPr="00CD36A4" w:rsidRDefault="00900886" w:rsidP="00900886">
      <w:pPr>
        <w:pStyle w:val="Style84"/>
        <w:spacing w:line="240" w:lineRule="auto"/>
        <w:rPr>
          <w:sz w:val="20"/>
          <w:szCs w:val="20"/>
          <w:lang w:val="de-DE"/>
        </w:rPr>
      </w:pPr>
      <w:r>
        <w:rPr>
          <w:sz w:val="20"/>
          <w:szCs w:val="20"/>
          <w:lang w:val="de-DE"/>
        </w:rPr>
        <w:t>- P: Độ tin cậy thống kê</w:t>
      </w:r>
    </w:p>
    <w:p w:rsidR="00C00A73" w:rsidRPr="00196467" w:rsidRDefault="00C00A73" w:rsidP="00C00A73">
      <w:pPr>
        <w:pStyle w:val="Style83"/>
        <w:spacing w:before="240" w:after="120"/>
        <w:rPr>
          <w:sz w:val="24"/>
          <w:szCs w:val="24"/>
          <w:lang w:val="vi-VN"/>
        </w:rPr>
      </w:pPr>
      <w:r w:rsidRPr="00196467">
        <w:rPr>
          <w:sz w:val="24"/>
          <w:szCs w:val="24"/>
          <w:lang w:val="vi-VN"/>
        </w:rPr>
        <w:t>3. Kết quả và thảo luận</w:t>
      </w:r>
    </w:p>
    <w:p w:rsidR="00C00A73" w:rsidRPr="00196467" w:rsidRDefault="00C00A73" w:rsidP="00C00A73">
      <w:pPr>
        <w:pStyle w:val="Style85"/>
        <w:spacing w:before="120" w:after="120"/>
        <w:rPr>
          <w:b/>
          <w:sz w:val="24"/>
          <w:szCs w:val="24"/>
        </w:rPr>
      </w:pPr>
      <w:r w:rsidRPr="00196467">
        <w:rPr>
          <w:b/>
          <w:sz w:val="24"/>
          <w:szCs w:val="24"/>
        </w:rPr>
        <w:t>3.1. Thành phần nước thải nuôi lợn</w:t>
      </w:r>
    </w:p>
    <w:p w:rsidR="00C00A73" w:rsidRPr="00196467" w:rsidRDefault="00C00A73" w:rsidP="00DB46F9">
      <w:pPr>
        <w:pStyle w:val="Style83"/>
        <w:spacing w:before="120" w:after="120"/>
        <w:ind w:firstLine="720"/>
        <w:rPr>
          <w:b w:val="0"/>
          <w:sz w:val="24"/>
          <w:szCs w:val="24"/>
          <w:lang w:val="de-DE"/>
        </w:rPr>
      </w:pPr>
      <w:r w:rsidRPr="00196467">
        <w:rPr>
          <w:b w:val="0"/>
          <w:sz w:val="24"/>
          <w:szCs w:val="24"/>
          <w:lang w:val="de-DE"/>
        </w:rPr>
        <w:t>Nước thải có thành phần pH, giá trị COD tổng, COD hòa tan và TSS được trình bày trong Bảng 1.</w:t>
      </w:r>
    </w:p>
    <w:p w:rsidR="00C00A73" w:rsidRPr="00196467" w:rsidRDefault="00C00A73" w:rsidP="00C00A73">
      <w:pPr>
        <w:pStyle w:val="Style84"/>
        <w:jc w:val="center"/>
        <w:rPr>
          <w:b/>
          <w:lang w:val="de-DE"/>
        </w:rPr>
      </w:pPr>
      <w:r w:rsidRPr="00196467">
        <w:rPr>
          <w:b/>
          <w:lang w:val="de-DE"/>
        </w:rPr>
        <w:t>Bảng 1. Thành phần nước thải đầu vào</w:t>
      </w:r>
    </w:p>
    <w:tbl>
      <w:tblPr>
        <w:tblW w:w="5392" w:type="dxa"/>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1"/>
        <w:gridCol w:w="2092"/>
      </w:tblGrid>
      <w:tr w:rsidR="00C00A73" w:rsidRPr="00D162C0" w:rsidTr="00F30E22">
        <w:trPr>
          <w:jc w:val="center"/>
        </w:trPr>
        <w:tc>
          <w:tcPr>
            <w:tcW w:w="1749" w:type="dxa"/>
            <w:vAlign w:val="center"/>
          </w:tcPr>
          <w:p w:rsidR="00C00A73" w:rsidRPr="003360D6" w:rsidRDefault="00C00A73" w:rsidP="00F30E22">
            <w:pPr>
              <w:pStyle w:val="Style84"/>
              <w:ind w:firstLine="0"/>
              <w:jc w:val="center"/>
              <w:rPr>
                <w:rFonts w:eastAsia="SimSun"/>
                <w:b/>
              </w:rPr>
            </w:pPr>
            <w:r w:rsidRPr="003360D6">
              <w:rPr>
                <w:rFonts w:eastAsia="SimSun"/>
                <w:b/>
              </w:rPr>
              <w:t>Thông số</w:t>
            </w:r>
          </w:p>
        </w:tc>
        <w:tc>
          <w:tcPr>
            <w:tcW w:w="1551" w:type="dxa"/>
            <w:vAlign w:val="center"/>
          </w:tcPr>
          <w:p w:rsidR="00C00A73" w:rsidRPr="003360D6" w:rsidRDefault="00C00A73" w:rsidP="00F30E22">
            <w:pPr>
              <w:pStyle w:val="Style84"/>
              <w:ind w:firstLine="0"/>
              <w:jc w:val="center"/>
              <w:rPr>
                <w:rFonts w:eastAsia="SimSun"/>
                <w:b/>
              </w:rPr>
            </w:pPr>
            <w:r w:rsidRPr="003360D6">
              <w:rPr>
                <w:rFonts w:eastAsia="SimSun"/>
                <w:b/>
              </w:rPr>
              <w:t>Nước thải thô</w:t>
            </w:r>
          </w:p>
        </w:tc>
        <w:tc>
          <w:tcPr>
            <w:tcW w:w="2092" w:type="dxa"/>
            <w:vAlign w:val="center"/>
          </w:tcPr>
          <w:p w:rsidR="00C00A73" w:rsidRPr="003360D6" w:rsidRDefault="00C00A73" w:rsidP="00F30E22">
            <w:pPr>
              <w:pStyle w:val="Style84"/>
              <w:spacing w:before="0" w:after="0" w:line="240" w:lineRule="auto"/>
              <w:ind w:firstLine="0"/>
              <w:jc w:val="center"/>
              <w:rPr>
                <w:rFonts w:eastAsia="SimSun"/>
                <w:b/>
              </w:rPr>
            </w:pPr>
            <w:r w:rsidRPr="003360D6">
              <w:rPr>
                <w:rFonts w:eastAsia="SimSun"/>
                <w:b/>
              </w:rPr>
              <w:t xml:space="preserve">Nước thải đầu vào </w:t>
            </w:r>
          </w:p>
        </w:tc>
      </w:tr>
      <w:tr w:rsidR="00C00A73" w:rsidRPr="00D162C0" w:rsidTr="00F30E22">
        <w:trPr>
          <w:jc w:val="center"/>
        </w:trPr>
        <w:tc>
          <w:tcPr>
            <w:tcW w:w="1749" w:type="dxa"/>
          </w:tcPr>
          <w:p w:rsidR="00C00A73" w:rsidRPr="003360D6" w:rsidRDefault="00C00A73" w:rsidP="00F30E22">
            <w:pPr>
              <w:pStyle w:val="Style84"/>
              <w:ind w:firstLine="0"/>
              <w:rPr>
                <w:rFonts w:eastAsia="SimSun"/>
              </w:rPr>
            </w:pPr>
            <w:r w:rsidRPr="003360D6">
              <w:rPr>
                <w:rFonts w:eastAsia="SimSun"/>
              </w:rPr>
              <w:t>pH</w:t>
            </w:r>
          </w:p>
        </w:tc>
        <w:tc>
          <w:tcPr>
            <w:tcW w:w="1551" w:type="dxa"/>
          </w:tcPr>
          <w:p w:rsidR="00C00A73" w:rsidRPr="003360D6" w:rsidRDefault="00C00A73" w:rsidP="00F30E22">
            <w:pPr>
              <w:pStyle w:val="Style84"/>
              <w:ind w:firstLine="0"/>
              <w:jc w:val="center"/>
              <w:rPr>
                <w:rFonts w:eastAsia="SimSun"/>
              </w:rPr>
            </w:pPr>
            <w:r w:rsidRPr="003360D6">
              <w:rPr>
                <w:rFonts w:eastAsia="SimSun"/>
              </w:rPr>
              <w:t>7,1 - 7,5</w:t>
            </w:r>
          </w:p>
        </w:tc>
        <w:tc>
          <w:tcPr>
            <w:tcW w:w="2092" w:type="dxa"/>
          </w:tcPr>
          <w:p w:rsidR="00C00A73" w:rsidRPr="003360D6" w:rsidRDefault="00C00A73" w:rsidP="00F30E22">
            <w:pPr>
              <w:pStyle w:val="Style84"/>
              <w:ind w:firstLine="0"/>
              <w:jc w:val="center"/>
              <w:rPr>
                <w:rFonts w:eastAsia="SimSun"/>
              </w:rPr>
            </w:pPr>
            <w:r w:rsidRPr="003360D6">
              <w:rPr>
                <w:rFonts w:eastAsia="SimSun"/>
              </w:rPr>
              <w:t>7,2 - 7,5</w:t>
            </w:r>
          </w:p>
        </w:tc>
      </w:tr>
      <w:tr w:rsidR="00C00A73" w:rsidRPr="00D162C0" w:rsidTr="00F30E22">
        <w:trPr>
          <w:jc w:val="center"/>
        </w:trPr>
        <w:tc>
          <w:tcPr>
            <w:tcW w:w="1749" w:type="dxa"/>
          </w:tcPr>
          <w:p w:rsidR="00C00A73" w:rsidRPr="003360D6" w:rsidRDefault="00C00A73" w:rsidP="00F30E22">
            <w:pPr>
              <w:pStyle w:val="Style84"/>
              <w:ind w:firstLine="0"/>
              <w:rPr>
                <w:rFonts w:eastAsia="SimSun"/>
              </w:rPr>
            </w:pPr>
            <w:r w:rsidRPr="003360D6">
              <w:rPr>
                <w:rFonts w:eastAsia="SimSun"/>
              </w:rPr>
              <w:t>COD</w:t>
            </w:r>
            <w:r w:rsidRPr="003360D6">
              <w:rPr>
                <w:rFonts w:eastAsia="SimSun"/>
                <w:vertAlign w:val="subscript"/>
              </w:rPr>
              <w:t>tổng</w:t>
            </w:r>
            <w:r w:rsidRPr="003360D6">
              <w:rPr>
                <w:rFonts w:eastAsia="SimSun"/>
              </w:rPr>
              <w:t xml:space="preserve"> (mg/l)</w:t>
            </w:r>
          </w:p>
        </w:tc>
        <w:tc>
          <w:tcPr>
            <w:tcW w:w="1551" w:type="dxa"/>
          </w:tcPr>
          <w:p w:rsidR="00C00A73" w:rsidRPr="003360D6" w:rsidRDefault="00C00A73" w:rsidP="00F30E22">
            <w:pPr>
              <w:pStyle w:val="Style84"/>
              <w:ind w:firstLine="0"/>
              <w:jc w:val="center"/>
              <w:rPr>
                <w:rFonts w:eastAsia="SimSun"/>
              </w:rPr>
            </w:pPr>
            <w:r w:rsidRPr="003360D6">
              <w:rPr>
                <w:rFonts w:eastAsia="SimSun"/>
              </w:rPr>
              <w:t>4.200 - 6.800</w:t>
            </w:r>
          </w:p>
        </w:tc>
        <w:tc>
          <w:tcPr>
            <w:tcW w:w="2092" w:type="dxa"/>
          </w:tcPr>
          <w:p w:rsidR="00C00A73" w:rsidRPr="003360D6" w:rsidRDefault="00C00A73" w:rsidP="00F30E22">
            <w:pPr>
              <w:pStyle w:val="Style84"/>
              <w:ind w:firstLine="0"/>
              <w:jc w:val="center"/>
              <w:rPr>
                <w:rFonts w:eastAsia="SimSun"/>
              </w:rPr>
            </w:pPr>
            <w:r w:rsidRPr="003360D6">
              <w:rPr>
                <w:rFonts w:eastAsia="SimSun"/>
              </w:rPr>
              <w:t>4.000 - 6.500</w:t>
            </w:r>
          </w:p>
        </w:tc>
      </w:tr>
      <w:tr w:rsidR="00C00A73" w:rsidRPr="00D162C0" w:rsidTr="00F30E22">
        <w:trPr>
          <w:jc w:val="center"/>
        </w:trPr>
        <w:tc>
          <w:tcPr>
            <w:tcW w:w="1749" w:type="dxa"/>
          </w:tcPr>
          <w:p w:rsidR="00C00A73" w:rsidRPr="003360D6" w:rsidRDefault="00C00A73" w:rsidP="00F30E22">
            <w:pPr>
              <w:pStyle w:val="Style84"/>
              <w:ind w:firstLine="0"/>
              <w:rPr>
                <w:rFonts w:eastAsia="SimSun"/>
              </w:rPr>
            </w:pPr>
            <w:r w:rsidRPr="003360D6">
              <w:rPr>
                <w:rFonts w:eastAsia="SimSun"/>
              </w:rPr>
              <w:t>COD</w:t>
            </w:r>
            <w:r w:rsidRPr="003360D6">
              <w:rPr>
                <w:rFonts w:eastAsia="SimSun"/>
                <w:vertAlign w:val="subscript"/>
              </w:rPr>
              <w:t xml:space="preserve">hòa tan </w:t>
            </w:r>
            <w:r w:rsidRPr="003360D6">
              <w:rPr>
                <w:rFonts w:eastAsia="SimSun"/>
              </w:rPr>
              <w:t>(mg/l)</w:t>
            </w:r>
          </w:p>
        </w:tc>
        <w:tc>
          <w:tcPr>
            <w:tcW w:w="1551" w:type="dxa"/>
          </w:tcPr>
          <w:p w:rsidR="00C00A73" w:rsidRPr="003360D6" w:rsidRDefault="00C00A73" w:rsidP="00F30E22">
            <w:pPr>
              <w:pStyle w:val="Style84"/>
              <w:ind w:firstLine="0"/>
              <w:jc w:val="center"/>
              <w:rPr>
                <w:rFonts w:eastAsia="SimSun"/>
              </w:rPr>
            </w:pPr>
            <w:r w:rsidRPr="003360D6">
              <w:rPr>
                <w:rFonts w:eastAsia="SimSun"/>
              </w:rPr>
              <w:t>750 - 1.450</w:t>
            </w:r>
          </w:p>
        </w:tc>
        <w:tc>
          <w:tcPr>
            <w:tcW w:w="2092" w:type="dxa"/>
          </w:tcPr>
          <w:p w:rsidR="00C00A73" w:rsidRPr="003360D6" w:rsidRDefault="00C00A73" w:rsidP="00F30E22">
            <w:pPr>
              <w:pStyle w:val="Style84"/>
              <w:ind w:firstLine="0"/>
              <w:jc w:val="center"/>
              <w:rPr>
                <w:rFonts w:eastAsia="SimSun"/>
              </w:rPr>
            </w:pPr>
            <w:r w:rsidRPr="003360D6">
              <w:rPr>
                <w:rFonts w:eastAsia="SimSun"/>
              </w:rPr>
              <w:t>550 - 1.100</w:t>
            </w:r>
          </w:p>
        </w:tc>
      </w:tr>
      <w:tr w:rsidR="00C00A73" w:rsidRPr="00D162C0" w:rsidTr="00F30E22">
        <w:trPr>
          <w:jc w:val="center"/>
        </w:trPr>
        <w:tc>
          <w:tcPr>
            <w:tcW w:w="1749" w:type="dxa"/>
          </w:tcPr>
          <w:p w:rsidR="00C00A73" w:rsidRPr="003360D6" w:rsidRDefault="00C00A73" w:rsidP="00F30E22">
            <w:pPr>
              <w:pStyle w:val="Style84"/>
              <w:ind w:firstLine="0"/>
              <w:rPr>
                <w:rFonts w:eastAsia="SimSun"/>
              </w:rPr>
            </w:pPr>
            <w:r w:rsidRPr="003360D6">
              <w:rPr>
                <w:rFonts w:eastAsia="SimSun"/>
              </w:rPr>
              <w:t>TSS (mg/l)</w:t>
            </w:r>
          </w:p>
        </w:tc>
        <w:tc>
          <w:tcPr>
            <w:tcW w:w="1551" w:type="dxa"/>
          </w:tcPr>
          <w:p w:rsidR="00C00A73" w:rsidRPr="003360D6" w:rsidRDefault="00C00A73" w:rsidP="00F30E22">
            <w:pPr>
              <w:pStyle w:val="Style84"/>
              <w:ind w:firstLine="0"/>
              <w:jc w:val="center"/>
              <w:rPr>
                <w:rFonts w:eastAsia="SimSun"/>
              </w:rPr>
            </w:pPr>
            <w:r w:rsidRPr="003360D6">
              <w:rPr>
                <w:rFonts w:eastAsia="SimSun"/>
              </w:rPr>
              <w:t>1.500 - 2.800</w:t>
            </w:r>
          </w:p>
        </w:tc>
        <w:tc>
          <w:tcPr>
            <w:tcW w:w="2092" w:type="dxa"/>
          </w:tcPr>
          <w:p w:rsidR="00C00A73" w:rsidRPr="003360D6" w:rsidRDefault="00C00A73" w:rsidP="00F30E22">
            <w:pPr>
              <w:pStyle w:val="Style84"/>
              <w:ind w:firstLine="0"/>
              <w:jc w:val="center"/>
              <w:rPr>
                <w:rFonts w:eastAsia="SimSun"/>
              </w:rPr>
            </w:pPr>
            <w:r w:rsidRPr="003360D6">
              <w:rPr>
                <w:rFonts w:eastAsia="SimSun"/>
              </w:rPr>
              <w:t>1.450 - 2.750</w:t>
            </w:r>
          </w:p>
        </w:tc>
      </w:tr>
    </w:tbl>
    <w:p w:rsidR="00900886" w:rsidRPr="00DB46F9" w:rsidRDefault="00C00A73" w:rsidP="00DB46F9">
      <w:pPr>
        <w:spacing w:before="120" w:after="120" w:line="240" w:lineRule="auto"/>
        <w:ind w:firstLine="720"/>
        <w:jc w:val="both"/>
        <w:rPr>
          <w:rFonts w:ascii="Times New Roman" w:eastAsia="SimSun" w:hAnsi="Times New Roman" w:cs="Times New Roman"/>
          <w:bCs/>
          <w:kern w:val="2"/>
          <w:sz w:val="24"/>
          <w:szCs w:val="24"/>
          <w:lang w:val="de-DE" w:eastAsia="zh-CN"/>
        </w:rPr>
      </w:pPr>
      <w:r w:rsidRPr="00DB46F9">
        <w:rPr>
          <w:rFonts w:ascii="Times New Roman" w:eastAsia="SimSun" w:hAnsi="Times New Roman" w:cs="Times New Roman"/>
          <w:bCs/>
          <w:kern w:val="2"/>
          <w:sz w:val="24"/>
          <w:szCs w:val="24"/>
          <w:lang w:val="de-DE" w:eastAsia="zh-CN"/>
        </w:rPr>
        <w:t>Nước thải thô ban đầu khi lấy về có giá trị COD tổng trong khoảng 4.200-6.800 mg/l, COD hòa tan trong khoảng 750-1.450 mg/l, sau khi lọc thô nước thải đầu vào của các hệ thí nghiệm có giá trị COD tổng khoảng 4.000-6.500 mg/l, COD hòa tan khoảng 550-1.100 mg/l.</w:t>
      </w:r>
    </w:p>
    <w:p w:rsidR="00C00A73" w:rsidRPr="00196467" w:rsidRDefault="00C00A73" w:rsidP="00C00A73">
      <w:pPr>
        <w:pStyle w:val="Style84"/>
        <w:spacing w:before="240" w:after="0" w:line="240" w:lineRule="auto"/>
        <w:ind w:firstLine="0"/>
        <w:rPr>
          <w:lang w:val="vi-VN"/>
        </w:rPr>
      </w:pPr>
      <w:r w:rsidRPr="00196467">
        <w:rPr>
          <w:b/>
          <w:i/>
          <w:sz w:val="24"/>
          <w:szCs w:val="24"/>
          <w:lang w:val="de-DE"/>
        </w:rPr>
        <w:t>3.2. Mối quan hệ tải lượng với NSXL và hiệu suất xử lý COD tổng</w:t>
      </w:r>
    </w:p>
    <w:p w:rsidR="00C00A73" w:rsidRDefault="00C00A73" w:rsidP="00DB46F9">
      <w:pPr>
        <w:pStyle w:val="Style84"/>
        <w:spacing w:before="120" w:after="120" w:line="240" w:lineRule="auto"/>
        <w:ind w:firstLine="720"/>
        <w:rPr>
          <w:rFonts w:eastAsia="SimSun"/>
          <w:sz w:val="24"/>
          <w:szCs w:val="24"/>
          <w:lang w:val="de-DE"/>
        </w:rPr>
      </w:pPr>
      <w:r w:rsidRPr="00196467">
        <w:rPr>
          <w:rFonts w:eastAsia="SimSun"/>
          <w:sz w:val="24"/>
          <w:szCs w:val="24"/>
          <w:lang w:val="de-DE"/>
        </w:rPr>
        <w:t>Mối quan hệ giữa tải lượng với năng suất xử lý và hiệu suất xử lý COD tổng của hai hệ thí nghiệm IC và ABR được thể hiện trong hình 3 và hình 4</w:t>
      </w:r>
      <w:r w:rsidRPr="00196467">
        <w:rPr>
          <w:rFonts w:eastAsia="SimSun"/>
          <w:sz w:val="24"/>
          <w:szCs w:val="24"/>
          <w:lang w:val="vi-VN"/>
        </w:rPr>
        <w:t>.</w:t>
      </w:r>
      <w:r w:rsidRPr="00196467">
        <w:rPr>
          <w:rFonts w:eastAsia="SimSun"/>
          <w:sz w:val="24"/>
          <w:szCs w:val="24"/>
          <w:lang w:val="de-DE"/>
        </w:rPr>
        <w:t xml:space="preserve"> Trong đó, đường liền thể hiện đường hồi quy các giá trị NSXL trung bình (</w:t>
      </w:r>
      <w:r w:rsidRPr="00196467">
        <w:rPr>
          <w:position w:val="-4"/>
          <w:sz w:val="24"/>
          <w:szCs w:val="24"/>
        </w:rPr>
        <w:object w:dxaOrig="279" w:dyaOrig="320">
          <v:shape id="_x0000_i1030" type="#_x0000_t75" style="width:10.85pt;height:12.25pt" o:ole="">
            <v:imagedata r:id="rId18" o:title=""/>
          </v:shape>
          <o:OLEObject Type="Embed" ProgID="Equation.DSMT4" ShapeID="_x0000_i1030" DrawAspect="Content" ObjectID="_1582962263" r:id="rId20"/>
        </w:object>
      </w:r>
      <w:r w:rsidRPr="00196467">
        <w:rPr>
          <w:sz w:val="24"/>
          <w:szCs w:val="24"/>
          <w:lang w:val="de-DE"/>
        </w:rPr>
        <w:t xml:space="preserve">), </w:t>
      </w:r>
      <w:r w:rsidRPr="00196467">
        <w:rPr>
          <w:rFonts w:eastAsia="SimSun"/>
          <w:sz w:val="24"/>
          <w:szCs w:val="24"/>
          <w:lang w:val="de-DE"/>
        </w:rPr>
        <w:t>các giá trị NSXL</w:t>
      </w:r>
      <w:r w:rsidRPr="00196467">
        <w:rPr>
          <w:rFonts w:eastAsia="SimSun"/>
          <w:sz w:val="24"/>
          <w:szCs w:val="24"/>
          <w:vertAlign w:val="subscript"/>
          <w:lang w:val="de-DE"/>
        </w:rPr>
        <w:t>min</w:t>
      </w:r>
      <w:r w:rsidRPr="00196467">
        <w:rPr>
          <w:rFonts w:eastAsia="SimSun"/>
          <w:sz w:val="24"/>
          <w:szCs w:val="24"/>
          <w:lang w:val="de-DE"/>
        </w:rPr>
        <w:t xml:space="preserve"> và NSXL</w:t>
      </w:r>
      <w:r w:rsidRPr="00196467">
        <w:rPr>
          <w:rFonts w:eastAsia="SimSun"/>
          <w:sz w:val="24"/>
          <w:szCs w:val="24"/>
          <w:vertAlign w:val="subscript"/>
          <w:lang w:val="de-DE"/>
        </w:rPr>
        <w:t>max</w:t>
      </w:r>
      <w:r w:rsidRPr="00196467">
        <w:rPr>
          <w:rFonts w:eastAsia="SimSun"/>
          <w:sz w:val="24"/>
          <w:szCs w:val="24"/>
          <w:lang w:val="de-DE"/>
        </w:rPr>
        <w:t xml:space="preserve"> là các giá trị NSXL được tính toán theo phương pháp đánh giá sai số theo công thức (IV). Các đường chéo nét đứt biểu diễn các đường mức hiệu suất xử lý tính theo tải lượng COD.</w:t>
      </w:r>
    </w:p>
    <w:tbl>
      <w:tblPr>
        <w:tblW w:w="0" w:type="auto"/>
        <w:tblLook w:val="04A0"/>
      </w:tblPr>
      <w:tblGrid>
        <w:gridCol w:w="4536"/>
        <w:gridCol w:w="283"/>
        <w:gridCol w:w="4536"/>
      </w:tblGrid>
      <w:tr w:rsidR="00C00A73" w:rsidRPr="00842300" w:rsidTr="00C00A73">
        <w:tc>
          <w:tcPr>
            <w:tcW w:w="4536" w:type="dxa"/>
          </w:tcPr>
          <w:p w:rsidR="00C00A73" w:rsidRPr="00842300" w:rsidRDefault="00C00A73" w:rsidP="00F30E22">
            <w:pPr>
              <w:pStyle w:val="NormalWeb"/>
              <w:spacing w:before="120" w:beforeAutospacing="0" w:after="120" w:afterAutospacing="0" w:line="288" w:lineRule="auto"/>
              <w:jc w:val="center"/>
              <w:rPr>
                <w:rFonts w:ascii="Times New Roman" w:eastAsia="SimSun" w:hAnsi="Times New Roman" w:cs="Times New Roman"/>
                <w:sz w:val="24"/>
                <w:lang w:val="de-DE"/>
              </w:rPr>
            </w:pPr>
            <w:r>
              <w:rPr>
                <w:rFonts w:ascii="Times New Roman" w:eastAsia="SimSun" w:hAnsi="Times New Roman" w:cs="Times New Roman"/>
                <w:noProof/>
                <w:sz w:val="22"/>
                <w:szCs w:val="22"/>
                <w:lang w:val="vi-VN" w:eastAsia="vi-VN"/>
              </w:rPr>
              <w:drawing>
                <wp:inline distT="0" distB="0" distL="0" distR="0">
                  <wp:extent cx="2702560" cy="2142490"/>
                  <wp:effectExtent l="19050" t="19050" r="21590" b="10160"/>
                  <wp:docPr id="22"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21" cstate="print"/>
                          <a:srcRect b="-38"/>
                          <a:stretch>
                            <a:fillRect/>
                          </a:stretch>
                        </pic:blipFill>
                        <pic:spPr bwMode="auto">
                          <a:xfrm>
                            <a:off x="0" y="0"/>
                            <a:ext cx="2702560" cy="2142490"/>
                          </a:xfrm>
                          <a:prstGeom prst="rect">
                            <a:avLst/>
                          </a:prstGeom>
                          <a:noFill/>
                          <a:ln w="6350" cmpd="sng">
                            <a:solidFill>
                              <a:srgbClr val="000000"/>
                            </a:solidFill>
                            <a:miter lim="800000"/>
                            <a:headEnd/>
                            <a:tailEnd/>
                          </a:ln>
                          <a:effectLst/>
                        </pic:spPr>
                      </pic:pic>
                    </a:graphicData>
                  </a:graphic>
                </wp:inline>
              </w:drawing>
            </w:r>
          </w:p>
        </w:tc>
        <w:tc>
          <w:tcPr>
            <w:tcW w:w="283" w:type="dxa"/>
          </w:tcPr>
          <w:p w:rsidR="00C00A73" w:rsidRPr="00842300" w:rsidRDefault="00C00A73" w:rsidP="00F30E22">
            <w:pPr>
              <w:pStyle w:val="NormalWeb"/>
              <w:spacing w:before="120" w:beforeAutospacing="0" w:after="120" w:afterAutospacing="0" w:line="288" w:lineRule="auto"/>
              <w:jc w:val="center"/>
              <w:rPr>
                <w:rFonts w:ascii="Times New Roman" w:eastAsia="SimSun" w:hAnsi="Times New Roman" w:cs="Times New Roman"/>
                <w:sz w:val="24"/>
                <w:lang w:val="de-DE"/>
              </w:rPr>
            </w:pPr>
          </w:p>
        </w:tc>
        <w:tc>
          <w:tcPr>
            <w:tcW w:w="4536" w:type="dxa"/>
          </w:tcPr>
          <w:p w:rsidR="00C00A73" w:rsidRPr="00842300" w:rsidRDefault="00C00A73" w:rsidP="00F30E22">
            <w:pPr>
              <w:pStyle w:val="NormalWeb"/>
              <w:spacing w:before="120" w:beforeAutospacing="0" w:after="120" w:afterAutospacing="0" w:line="288" w:lineRule="auto"/>
              <w:jc w:val="center"/>
              <w:rPr>
                <w:rFonts w:ascii="Times New Roman" w:eastAsia="SimSun" w:hAnsi="Times New Roman" w:cs="Times New Roman"/>
                <w:sz w:val="24"/>
                <w:lang w:val="de-DE"/>
              </w:rPr>
            </w:pPr>
            <w:r>
              <w:rPr>
                <w:rFonts w:ascii="Times New Roman" w:eastAsia="SimSun" w:hAnsi="Times New Roman" w:cs="Times New Roman"/>
                <w:noProof/>
                <w:sz w:val="22"/>
                <w:szCs w:val="22"/>
                <w:lang w:val="vi-VN" w:eastAsia="vi-VN"/>
              </w:rPr>
              <w:drawing>
                <wp:inline distT="0" distB="0" distL="0" distR="0">
                  <wp:extent cx="2702560" cy="2129155"/>
                  <wp:effectExtent l="19050" t="19050" r="21590" b="23495"/>
                  <wp:docPr id="23"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22" cstate="print"/>
                          <a:srcRect b="-20"/>
                          <a:stretch>
                            <a:fillRect/>
                          </a:stretch>
                        </pic:blipFill>
                        <pic:spPr bwMode="auto">
                          <a:xfrm>
                            <a:off x="0" y="0"/>
                            <a:ext cx="2702560" cy="2129155"/>
                          </a:xfrm>
                          <a:prstGeom prst="rect">
                            <a:avLst/>
                          </a:prstGeom>
                          <a:noFill/>
                          <a:ln w="6350" cmpd="sng">
                            <a:solidFill>
                              <a:srgbClr val="000000"/>
                            </a:solidFill>
                            <a:miter lim="800000"/>
                            <a:headEnd/>
                            <a:tailEnd/>
                          </a:ln>
                          <a:effectLst/>
                        </pic:spPr>
                      </pic:pic>
                    </a:graphicData>
                  </a:graphic>
                </wp:inline>
              </w:drawing>
            </w:r>
          </w:p>
        </w:tc>
      </w:tr>
      <w:tr w:rsidR="00C00A73" w:rsidRPr="00842300" w:rsidTr="00C00A73">
        <w:tc>
          <w:tcPr>
            <w:tcW w:w="4536" w:type="dxa"/>
          </w:tcPr>
          <w:p w:rsidR="00C00A73" w:rsidRPr="00842300" w:rsidRDefault="00C00A73" w:rsidP="00F30E22">
            <w:pPr>
              <w:pStyle w:val="NormalWeb"/>
              <w:spacing w:before="0" w:beforeAutospacing="0" w:after="0" w:afterAutospacing="0"/>
              <w:jc w:val="center"/>
              <w:rPr>
                <w:rFonts w:ascii="Times New Roman" w:eastAsia="SimSun" w:hAnsi="Times New Roman" w:cs="Times New Roman"/>
                <w:sz w:val="24"/>
                <w:lang w:val="de-DE"/>
              </w:rPr>
            </w:pPr>
            <w:r w:rsidRPr="00842300">
              <w:rPr>
                <w:rFonts w:ascii="Times New Roman" w:hAnsi="Times New Roman" w:cs="Times New Roman"/>
                <w:b/>
                <w:i/>
                <w:noProof/>
                <w:sz w:val="18"/>
                <w:szCs w:val="18"/>
                <w:lang w:val="de-DE"/>
              </w:rPr>
              <w:t>Hình 3: Mối quan hệ của COD tổng (Hệ IC)</w:t>
            </w:r>
          </w:p>
        </w:tc>
        <w:tc>
          <w:tcPr>
            <w:tcW w:w="283" w:type="dxa"/>
          </w:tcPr>
          <w:p w:rsidR="00C00A73" w:rsidRPr="00842300" w:rsidRDefault="00C00A73" w:rsidP="00F30E22">
            <w:pPr>
              <w:pStyle w:val="NormalWeb"/>
              <w:spacing w:before="0" w:beforeAutospacing="0" w:after="0" w:afterAutospacing="0"/>
              <w:jc w:val="center"/>
              <w:rPr>
                <w:rFonts w:ascii="Times New Roman" w:eastAsia="SimSun" w:hAnsi="Times New Roman" w:cs="Times New Roman"/>
                <w:sz w:val="24"/>
                <w:lang w:val="de-DE"/>
              </w:rPr>
            </w:pPr>
          </w:p>
        </w:tc>
        <w:tc>
          <w:tcPr>
            <w:tcW w:w="4536" w:type="dxa"/>
          </w:tcPr>
          <w:p w:rsidR="00C00A73" w:rsidRPr="00842300" w:rsidRDefault="00C00A73" w:rsidP="00F30E22">
            <w:pPr>
              <w:pStyle w:val="NormalWeb"/>
              <w:spacing w:before="0" w:beforeAutospacing="0" w:after="0" w:afterAutospacing="0"/>
              <w:jc w:val="center"/>
              <w:rPr>
                <w:rFonts w:ascii="Times New Roman" w:eastAsia="SimSun" w:hAnsi="Times New Roman" w:cs="Times New Roman"/>
                <w:sz w:val="24"/>
                <w:lang w:val="de-DE"/>
              </w:rPr>
            </w:pPr>
            <w:r w:rsidRPr="00842300">
              <w:rPr>
                <w:rFonts w:ascii="Times New Roman" w:hAnsi="Times New Roman" w:cs="Times New Roman"/>
                <w:b/>
                <w:i/>
                <w:noProof/>
                <w:sz w:val="18"/>
                <w:szCs w:val="18"/>
                <w:lang w:val="de-DE"/>
              </w:rPr>
              <w:t>Hình 4: Mối quan hệ của COD tổng (Hệ ABR)</w:t>
            </w:r>
          </w:p>
        </w:tc>
      </w:tr>
    </w:tbl>
    <w:p w:rsidR="007D16B7" w:rsidRDefault="007D16B7" w:rsidP="00DB46F9">
      <w:pPr>
        <w:pStyle w:val="NormalWeb"/>
        <w:spacing w:before="120" w:beforeAutospacing="0" w:after="120" w:afterAutospacing="0"/>
        <w:ind w:firstLine="720"/>
        <w:rPr>
          <w:rFonts w:ascii="Times New Roman" w:eastAsia="SimSun" w:hAnsi="Times New Roman" w:cs="Times New Roman"/>
          <w:sz w:val="24"/>
          <w:lang w:val="de-DE"/>
        </w:rPr>
      </w:pPr>
      <w:r w:rsidRPr="00196467">
        <w:rPr>
          <w:rFonts w:ascii="Times New Roman" w:eastAsia="SimSun" w:hAnsi="Times New Roman" w:cs="Times New Roman"/>
          <w:sz w:val="24"/>
          <w:lang w:val="de-DE"/>
        </w:rPr>
        <w:t>Đồ thị trong hình 3 cho thấy hiệu suất xử lý COD tổng trung bình của hệ IC dao động trong khoảng từ 63-75%, tại các điểm có tải lượng thấp thì hệ xử lý đạt HS trung bình trên 70% (HS cao nhất tại TL = 4,9 kgCOD/m</w:t>
      </w:r>
      <w:r w:rsidRPr="00196467">
        <w:rPr>
          <w:rFonts w:ascii="Times New Roman" w:eastAsia="SimSun" w:hAnsi="Times New Roman" w:cs="Times New Roman"/>
          <w:sz w:val="24"/>
          <w:vertAlign w:val="superscript"/>
          <w:lang w:val="de-DE"/>
        </w:rPr>
        <w:t>3</w:t>
      </w:r>
      <w:r w:rsidRPr="00196467">
        <w:rPr>
          <w:rFonts w:ascii="Times New Roman" w:eastAsia="SimSun" w:hAnsi="Times New Roman" w:cs="Times New Roman"/>
          <w:sz w:val="24"/>
          <w:lang w:val="de-DE"/>
        </w:rPr>
        <w:t xml:space="preserve">/ngày đạt 75%) nhưng khi tăng tiếp TL thì HS giảm xuống </w:t>
      </w:r>
      <w:r w:rsidRPr="00196467">
        <w:rPr>
          <w:rFonts w:ascii="Times New Roman" w:eastAsia="SimSun" w:hAnsi="Times New Roman" w:cs="Times New Roman"/>
          <w:sz w:val="24"/>
          <w:lang w:val="de-DE"/>
        </w:rPr>
        <w:lastRenderedPageBreak/>
        <w:t>(tại TL = 20 kgCOD/m</w:t>
      </w:r>
      <w:r w:rsidRPr="00196467">
        <w:rPr>
          <w:rFonts w:ascii="Times New Roman" w:eastAsia="SimSun" w:hAnsi="Times New Roman" w:cs="Times New Roman"/>
          <w:sz w:val="24"/>
          <w:vertAlign w:val="superscript"/>
          <w:lang w:val="de-DE"/>
        </w:rPr>
        <w:t>3</w:t>
      </w:r>
      <w:r w:rsidRPr="00196467">
        <w:rPr>
          <w:rFonts w:ascii="Times New Roman" w:eastAsia="SimSun" w:hAnsi="Times New Roman" w:cs="Times New Roman"/>
          <w:sz w:val="24"/>
          <w:lang w:val="de-DE"/>
        </w:rPr>
        <w:t>/ngày đạt 65%) và HS trung bình có xu hướng giảm xuống theo phương trình hồi quy y = -0,002x</w:t>
      </w:r>
      <w:r w:rsidRPr="00196467">
        <w:rPr>
          <w:rFonts w:ascii="Times New Roman" w:eastAsia="SimSun" w:hAnsi="Times New Roman" w:cs="Times New Roman"/>
          <w:sz w:val="24"/>
          <w:vertAlign w:val="superscript"/>
          <w:lang w:val="de-DE"/>
        </w:rPr>
        <w:t>2</w:t>
      </w:r>
      <w:r w:rsidRPr="00196467">
        <w:rPr>
          <w:rFonts w:ascii="Times New Roman" w:eastAsia="SimSun" w:hAnsi="Times New Roman" w:cs="Times New Roman"/>
          <w:sz w:val="24"/>
          <w:lang w:val="de-DE"/>
        </w:rPr>
        <w:t xml:space="preserve"> + 0,6965x. Trong khi đó, hình 4 cho thấy hệ ABR đạt HS trung bình trong khoảng từ 67-77 % (trừ giá trị tại điểm ban đầu là giai đoạn khởi động có TL = 0,8 kgCOD/m</w:t>
      </w:r>
      <w:r w:rsidRPr="00196467">
        <w:rPr>
          <w:rFonts w:ascii="Times New Roman" w:eastAsia="SimSun" w:hAnsi="Times New Roman" w:cs="Times New Roman"/>
          <w:sz w:val="24"/>
          <w:vertAlign w:val="superscript"/>
          <w:lang w:val="de-DE"/>
        </w:rPr>
        <w:t>3</w:t>
      </w:r>
      <w:r w:rsidRPr="00196467">
        <w:rPr>
          <w:rFonts w:ascii="Times New Roman" w:eastAsia="SimSun" w:hAnsi="Times New Roman" w:cs="Times New Roman"/>
          <w:sz w:val="24"/>
          <w:lang w:val="de-DE"/>
        </w:rPr>
        <w:t>/ngày, HS = 42%), HS xử lý cao nhất tại TL = 21 kgCOD/m</w:t>
      </w:r>
      <w:r w:rsidRPr="00196467">
        <w:rPr>
          <w:rFonts w:ascii="Times New Roman" w:eastAsia="SimSun" w:hAnsi="Times New Roman" w:cs="Times New Roman"/>
          <w:sz w:val="24"/>
          <w:vertAlign w:val="superscript"/>
          <w:lang w:val="de-DE"/>
        </w:rPr>
        <w:t>3</w:t>
      </w:r>
      <w:r w:rsidRPr="00196467">
        <w:rPr>
          <w:rFonts w:ascii="Times New Roman" w:eastAsia="SimSun" w:hAnsi="Times New Roman" w:cs="Times New Roman"/>
          <w:sz w:val="24"/>
          <w:lang w:val="de-DE"/>
        </w:rPr>
        <w:t>/ngày đạt 77% và HS trung bình có xu hướng tăng lên theo phương trình hồi quy y = 0,0054x</w:t>
      </w:r>
      <w:r w:rsidRPr="00196467">
        <w:rPr>
          <w:rFonts w:ascii="Times New Roman" w:eastAsia="SimSun" w:hAnsi="Times New Roman" w:cs="Times New Roman"/>
          <w:sz w:val="24"/>
          <w:vertAlign w:val="superscript"/>
          <w:lang w:val="de-DE"/>
        </w:rPr>
        <w:t>2</w:t>
      </w:r>
      <w:r w:rsidRPr="00196467">
        <w:rPr>
          <w:rFonts w:ascii="Times New Roman" w:eastAsia="SimSun" w:hAnsi="Times New Roman" w:cs="Times New Roman"/>
          <w:sz w:val="24"/>
          <w:lang w:val="de-DE"/>
        </w:rPr>
        <w:t xml:space="preserve"> + 0,6416x.</w:t>
      </w:r>
    </w:p>
    <w:p w:rsidR="00C00A73" w:rsidRPr="00A7231A" w:rsidRDefault="00C00A73" w:rsidP="00DB46F9">
      <w:pPr>
        <w:pStyle w:val="NormalWeb"/>
        <w:spacing w:before="120" w:beforeAutospacing="0" w:after="120" w:afterAutospacing="0"/>
        <w:ind w:firstLine="720"/>
        <w:rPr>
          <w:rFonts w:ascii="Times New Roman" w:eastAsia="SimSun" w:hAnsi="Times New Roman" w:cs="Times New Roman"/>
          <w:sz w:val="24"/>
          <w:lang w:val="de-DE"/>
        </w:rPr>
      </w:pPr>
      <w:r w:rsidRPr="00A7231A">
        <w:rPr>
          <w:rFonts w:ascii="Times New Roman" w:eastAsia="SimSun" w:hAnsi="Times New Roman" w:cs="Times New Roman"/>
          <w:sz w:val="24"/>
          <w:lang w:val="de-DE"/>
        </w:rPr>
        <w:t>So sánh hai hệ IC và ABR ta thấy: HS trung bình của hệ ABR cao hơn hệ IC, điều này có thể giải thích rằng hệ ABR có cấu tạo thêm cột sơ lắng nên phần lớn lượng cặn được tách tốt hơn và giữ lại ở cột 1, chính vì vậy hệ ABR xử lý cặn tốt hơn và hiệu quả xử lý cao hơn hệ IC. Mặt khác, hệ ABR có các giá trị sai số của NSXL nhỏ hơn hệ IC cho thấy hệ ABR xử lý COD tổng ổn định hơn – tức là các giá trị NSXL tập trung hơn hệ IC.</w:t>
      </w:r>
    </w:p>
    <w:p w:rsidR="00C00A73" w:rsidRDefault="00C00A73" w:rsidP="00DB46F9">
      <w:pPr>
        <w:spacing w:before="120" w:after="120" w:line="240" w:lineRule="auto"/>
        <w:ind w:firstLine="720"/>
        <w:jc w:val="both"/>
        <w:rPr>
          <w:rFonts w:ascii="Times New Roman" w:eastAsia="SimSun" w:hAnsi="Times New Roman" w:cs="Times New Roman"/>
          <w:bCs/>
          <w:sz w:val="24"/>
          <w:lang w:val="de-DE"/>
        </w:rPr>
      </w:pPr>
      <w:r w:rsidRPr="00A7231A">
        <w:rPr>
          <w:rFonts w:ascii="Times New Roman" w:eastAsia="SimSun" w:hAnsi="Times New Roman" w:cs="Times New Roman"/>
          <w:sz w:val="24"/>
          <w:lang w:val="de-DE"/>
        </w:rPr>
        <w:t xml:space="preserve">So sánh kĩ thuật IC cũng được tác giả Deng sử dụng để xử lí nước thải nuôi lợn </w:t>
      </w:r>
      <w:r w:rsidRPr="00A7231A">
        <w:rPr>
          <w:rFonts w:ascii="Times New Roman" w:eastAsia="SimSun" w:hAnsi="Times New Roman" w:cs="Times New Roman"/>
          <w:color w:val="FF0000"/>
          <w:sz w:val="24"/>
          <w:lang w:val="de-DE"/>
        </w:rPr>
        <w:t>[7]</w:t>
      </w:r>
      <w:r w:rsidRPr="00A7231A">
        <w:rPr>
          <w:rFonts w:ascii="Times New Roman" w:eastAsia="SimSun" w:hAnsi="Times New Roman" w:cs="Times New Roman"/>
          <w:sz w:val="24"/>
          <w:lang w:val="de-DE"/>
        </w:rPr>
        <w:t>, kết quả cho thấy với tải lượng COD đầu vào là 6-7 kg COD/m</w:t>
      </w:r>
      <w:r w:rsidRPr="00A7231A">
        <w:rPr>
          <w:rFonts w:ascii="Times New Roman" w:eastAsia="SimSun" w:hAnsi="Times New Roman" w:cs="Times New Roman"/>
          <w:sz w:val="24"/>
          <w:vertAlign w:val="superscript"/>
          <w:lang w:val="de-DE"/>
        </w:rPr>
        <w:t>3</w:t>
      </w:r>
      <w:r w:rsidRPr="00A7231A">
        <w:rPr>
          <w:rFonts w:ascii="Times New Roman" w:eastAsia="SimSun" w:hAnsi="Times New Roman" w:cs="Times New Roman"/>
          <w:sz w:val="24"/>
          <w:lang w:val="de-DE"/>
        </w:rPr>
        <w:t xml:space="preserve">/ngày đạt hiệu suất khoảng 80% cao hơn kết quả của nghiên cứu này (72%). Đối với kỹ thuật ABR, kết quả của nhóm </w:t>
      </w:r>
      <w:r w:rsidRPr="00A7231A">
        <w:rPr>
          <w:rFonts w:ascii="Times New Roman" w:eastAsia="SimSun" w:hAnsi="Times New Roman" w:cs="Times New Roman"/>
          <w:bCs/>
          <w:sz w:val="24"/>
          <w:lang w:val="de-DE"/>
        </w:rPr>
        <w:t xml:space="preserve">tác giả Yang từ khoa Nông nghiệp, trường Tổng hợp Hawai </w:t>
      </w:r>
      <w:r w:rsidRPr="00A7231A">
        <w:rPr>
          <w:rFonts w:ascii="Times New Roman" w:eastAsia="SimSun" w:hAnsi="Times New Roman" w:cs="Times New Roman"/>
          <w:bCs/>
          <w:color w:val="FF0000"/>
          <w:sz w:val="24"/>
          <w:lang w:val="de-DE"/>
        </w:rPr>
        <w:t>[8</w:t>
      </w:r>
      <w:r w:rsidRPr="00A7231A">
        <w:rPr>
          <w:rFonts w:ascii="Times New Roman" w:eastAsia="SimSun" w:hAnsi="Times New Roman" w:cs="Times New Roman"/>
          <w:color w:val="FF0000"/>
          <w:sz w:val="24"/>
          <w:lang w:val="de-DE"/>
        </w:rPr>
        <w:t>]</w:t>
      </w:r>
      <w:r w:rsidRPr="00A7231A">
        <w:rPr>
          <w:rFonts w:ascii="Times New Roman" w:eastAsia="SimSun" w:hAnsi="Times New Roman" w:cs="Times New Roman"/>
          <w:sz w:val="24"/>
          <w:lang w:val="de-DE"/>
        </w:rPr>
        <w:t xml:space="preserve"> đã nghiên cứu, hệ thống làm việc với thời gian lưu nước 0,25-5 ngày. Kết quả cho thấy với tải lượng hữu cơ đầu vào là 2,5-8,5 </w:t>
      </w:r>
      <w:r w:rsidRPr="00A7231A">
        <w:rPr>
          <w:rFonts w:ascii="Times New Roman" w:eastAsia="SimSun" w:hAnsi="Times New Roman" w:cs="Times New Roman"/>
          <w:bCs/>
          <w:sz w:val="24"/>
          <w:lang w:val="de-DE"/>
        </w:rPr>
        <w:t>kg/m</w:t>
      </w:r>
      <w:r w:rsidRPr="00A7231A">
        <w:rPr>
          <w:rFonts w:ascii="Times New Roman" w:eastAsia="SimSun" w:hAnsi="Times New Roman" w:cs="Times New Roman"/>
          <w:bCs/>
          <w:sz w:val="24"/>
          <w:vertAlign w:val="superscript"/>
          <w:lang w:val="de-DE"/>
        </w:rPr>
        <w:t>3</w:t>
      </w:r>
      <w:r w:rsidRPr="00A7231A">
        <w:rPr>
          <w:rFonts w:ascii="Times New Roman" w:eastAsia="SimSun" w:hAnsi="Times New Roman" w:cs="Times New Roman"/>
          <w:bCs/>
          <w:sz w:val="24"/>
          <w:lang w:val="de-DE"/>
        </w:rPr>
        <w:t xml:space="preserve">/ngày thì hiệu quả xử lí COD tối đa đạt 81% cao hơn kết quả của nhóm nghiên cứu (75%). Tuy nhiên, so với các tác giả Ý </w:t>
      </w:r>
      <w:r w:rsidRPr="00A7231A">
        <w:rPr>
          <w:rFonts w:ascii="Times New Roman" w:eastAsia="SimSun" w:hAnsi="Times New Roman" w:cs="Times New Roman"/>
          <w:bCs/>
          <w:color w:val="FF0000"/>
          <w:sz w:val="24"/>
          <w:lang w:val="de-DE"/>
        </w:rPr>
        <w:t>[9]</w:t>
      </w:r>
      <w:r w:rsidRPr="00A7231A">
        <w:rPr>
          <w:rFonts w:ascii="Times New Roman" w:eastAsia="SimSun" w:hAnsi="Times New Roman" w:cs="Times New Roman"/>
          <w:bCs/>
          <w:sz w:val="24"/>
          <w:lang w:val="de-DE"/>
        </w:rPr>
        <w:t xml:space="preserve"> ở cùng điều kiện tải lượng 20 kgCOD/m</w:t>
      </w:r>
      <w:r w:rsidRPr="00A7231A">
        <w:rPr>
          <w:rFonts w:ascii="Times New Roman" w:eastAsia="SimSun" w:hAnsi="Times New Roman" w:cs="Times New Roman"/>
          <w:bCs/>
          <w:sz w:val="24"/>
          <w:vertAlign w:val="superscript"/>
          <w:lang w:val="de-DE"/>
        </w:rPr>
        <w:t>3</w:t>
      </w:r>
      <w:r w:rsidRPr="00A7231A">
        <w:rPr>
          <w:rFonts w:ascii="Times New Roman" w:eastAsia="SimSun" w:hAnsi="Times New Roman" w:cs="Times New Roman"/>
          <w:bCs/>
          <w:sz w:val="24"/>
          <w:lang w:val="de-DE"/>
        </w:rPr>
        <w:t>/ngày thì hiệu suất xử lí COD của nhóm nghiên cứu là tốt hơn (77% và 70%).</w:t>
      </w:r>
    </w:p>
    <w:p w:rsidR="00C00A73" w:rsidRPr="00196467" w:rsidRDefault="00C00A73" w:rsidP="00C00A73">
      <w:pPr>
        <w:pStyle w:val="Style84"/>
        <w:spacing w:before="240" w:after="0" w:line="240" w:lineRule="auto"/>
        <w:ind w:firstLine="0"/>
        <w:rPr>
          <w:lang w:val="vi-VN"/>
        </w:rPr>
      </w:pPr>
      <w:r w:rsidRPr="00196467">
        <w:rPr>
          <w:b/>
          <w:i/>
          <w:sz w:val="24"/>
          <w:szCs w:val="24"/>
          <w:lang w:val="de-DE"/>
        </w:rPr>
        <w:t>3.</w:t>
      </w:r>
      <w:r>
        <w:rPr>
          <w:b/>
          <w:i/>
          <w:sz w:val="24"/>
          <w:szCs w:val="24"/>
          <w:lang w:val="de-DE"/>
        </w:rPr>
        <w:t>3</w:t>
      </w:r>
      <w:r w:rsidRPr="00196467">
        <w:rPr>
          <w:b/>
          <w:i/>
          <w:sz w:val="24"/>
          <w:szCs w:val="24"/>
          <w:lang w:val="de-DE"/>
        </w:rPr>
        <w:t xml:space="preserve">. </w:t>
      </w:r>
      <w:r>
        <w:rPr>
          <w:b/>
          <w:i/>
          <w:sz w:val="24"/>
          <w:szCs w:val="24"/>
          <w:lang w:val="de-DE"/>
        </w:rPr>
        <w:t>Đánh giá m</w:t>
      </w:r>
      <w:r w:rsidRPr="00196467">
        <w:rPr>
          <w:b/>
          <w:i/>
          <w:sz w:val="24"/>
          <w:szCs w:val="24"/>
          <w:lang w:val="de-DE"/>
        </w:rPr>
        <w:t xml:space="preserve">ối quan hệ </w:t>
      </w:r>
      <w:r>
        <w:rPr>
          <w:b/>
          <w:i/>
          <w:sz w:val="24"/>
          <w:szCs w:val="24"/>
          <w:lang w:val="de-DE"/>
        </w:rPr>
        <w:t>của</w:t>
      </w:r>
      <w:r w:rsidRPr="00196467">
        <w:rPr>
          <w:b/>
          <w:i/>
          <w:sz w:val="24"/>
          <w:szCs w:val="24"/>
          <w:lang w:val="de-DE"/>
        </w:rPr>
        <w:t xml:space="preserve"> COD </w:t>
      </w:r>
      <w:r>
        <w:rPr>
          <w:b/>
          <w:i/>
          <w:sz w:val="24"/>
          <w:szCs w:val="24"/>
          <w:lang w:val="de-DE"/>
        </w:rPr>
        <w:t>hòa tan</w:t>
      </w:r>
    </w:p>
    <w:p w:rsidR="00C00A73" w:rsidRDefault="00C00A73" w:rsidP="00DB46F9">
      <w:pPr>
        <w:pStyle w:val="NormalWeb"/>
        <w:spacing w:before="120" w:beforeAutospacing="0" w:after="120" w:afterAutospacing="0"/>
        <w:ind w:firstLine="720"/>
        <w:rPr>
          <w:rFonts w:ascii="Times New Roman" w:eastAsia="SimSun" w:hAnsi="Times New Roman" w:cs="Times New Roman"/>
          <w:sz w:val="24"/>
          <w:lang w:val="de-DE"/>
        </w:rPr>
      </w:pPr>
      <w:r w:rsidRPr="00615C75">
        <w:rPr>
          <w:rFonts w:ascii="Times New Roman" w:eastAsia="SimSun" w:hAnsi="Times New Roman" w:cs="Times New Roman"/>
          <w:sz w:val="24"/>
          <w:lang w:val="de-DE"/>
        </w:rPr>
        <w:t>Mối quan hệ giữa tải lượng với năng suất xử lý và hiệu suất xử lý COD hòa tan của hai hệ thí nghiệm IC và ABR được thể hiện trong hình 5 và hình 6.</w:t>
      </w:r>
    </w:p>
    <w:tbl>
      <w:tblPr>
        <w:tblW w:w="0" w:type="auto"/>
        <w:tblLook w:val="04A0"/>
      </w:tblPr>
      <w:tblGrid>
        <w:gridCol w:w="4536"/>
        <w:gridCol w:w="283"/>
        <w:gridCol w:w="4536"/>
      </w:tblGrid>
      <w:tr w:rsidR="00C00A73" w:rsidRPr="00842300" w:rsidTr="00F30E22">
        <w:tc>
          <w:tcPr>
            <w:tcW w:w="4503" w:type="dxa"/>
          </w:tcPr>
          <w:p w:rsidR="00C00A73" w:rsidRPr="00842300" w:rsidRDefault="00C00A73" w:rsidP="00F30E22">
            <w:pPr>
              <w:pStyle w:val="NormalWeb"/>
              <w:spacing w:before="120" w:beforeAutospacing="0" w:after="120" w:afterAutospacing="0" w:line="288" w:lineRule="auto"/>
              <w:jc w:val="center"/>
              <w:rPr>
                <w:rFonts w:ascii="Times New Roman" w:eastAsia="SimSun" w:hAnsi="Times New Roman" w:cs="Times New Roman"/>
                <w:sz w:val="24"/>
                <w:lang w:val="de-DE"/>
              </w:rPr>
            </w:pPr>
            <w:r>
              <w:rPr>
                <w:noProof/>
                <w:lang w:val="vi-VN" w:eastAsia="vi-VN"/>
              </w:rPr>
              <w:drawing>
                <wp:inline distT="0" distB="0" distL="0" distR="0">
                  <wp:extent cx="2702560" cy="2142490"/>
                  <wp:effectExtent l="19050" t="19050" r="21590" b="10160"/>
                  <wp:docPr id="29"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23" cstate="print"/>
                          <a:srcRect/>
                          <a:stretch>
                            <a:fillRect/>
                          </a:stretch>
                        </pic:blipFill>
                        <pic:spPr bwMode="auto">
                          <a:xfrm>
                            <a:off x="0" y="0"/>
                            <a:ext cx="2702560" cy="2142490"/>
                          </a:xfrm>
                          <a:prstGeom prst="rect">
                            <a:avLst/>
                          </a:prstGeom>
                          <a:noFill/>
                          <a:ln w="6350" cmpd="sng">
                            <a:solidFill>
                              <a:srgbClr val="000000"/>
                            </a:solidFill>
                            <a:miter lim="800000"/>
                            <a:headEnd/>
                            <a:tailEnd/>
                          </a:ln>
                          <a:effectLst/>
                        </pic:spPr>
                      </pic:pic>
                    </a:graphicData>
                  </a:graphic>
                </wp:inline>
              </w:drawing>
            </w:r>
          </w:p>
        </w:tc>
        <w:tc>
          <w:tcPr>
            <w:tcW w:w="283" w:type="dxa"/>
          </w:tcPr>
          <w:p w:rsidR="00C00A73" w:rsidRPr="00842300" w:rsidRDefault="00C00A73" w:rsidP="00F30E22">
            <w:pPr>
              <w:pStyle w:val="NormalWeb"/>
              <w:spacing w:before="120" w:beforeAutospacing="0" w:after="120" w:afterAutospacing="0" w:line="288" w:lineRule="auto"/>
              <w:jc w:val="center"/>
              <w:rPr>
                <w:rFonts w:ascii="Times New Roman" w:eastAsia="SimSun" w:hAnsi="Times New Roman" w:cs="Times New Roman"/>
                <w:sz w:val="24"/>
                <w:lang w:val="de-DE"/>
              </w:rPr>
            </w:pPr>
          </w:p>
        </w:tc>
        <w:tc>
          <w:tcPr>
            <w:tcW w:w="4501" w:type="dxa"/>
          </w:tcPr>
          <w:p w:rsidR="00C00A73" w:rsidRPr="00842300" w:rsidRDefault="00C00A73" w:rsidP="00F30E22">
            <w:pPr>
              <w:pStyle w:val="NormalWeb"/>
              <w:spacing w:before="120" w:beforeAutospacing="0" w:after="120" w:afterAutospacing="0" w:line="288" w:lineRule="auto"/>
              <w:jc w:val="center"/>
              <w:rPr>
                <w:rFonts w:ascii="Times New Roman" w:eastAsia="SimSun" w:hAnsi="Times New Roman" w:cs="Times New Roman"/>
                <w:sz w:val="24"/>
                <w:lang w:val="de-DE"/>
              </w:rPr>
            </w:pPr>
            <w:r>
              <w:rPr>
                <w:noProof/>
                <w:lang w:val="vi-VN" w:eastAsia="vi-VN"/>
              </w:rPr>
              <w:drawing>
                <wp:inline distT="0" distB="0" distL="0" distR="0">
                  <wp:extent cx="2702560" cy="2129155"/>
                  <wp:effectExtent l="19050" t="19050" r="21590" b="23495"/>
                  <wp:docPr id="30"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24" cstate="print"/>
                          <a:srcRect/>
                          <a:stretch>
                            <a:fillRect/>
                          </a:stretch>
                        </pic:blipFill>
                        <pic:spPr bwMode="auto">
                          <a:xfrm>
                            <a:off x="0" y="0"/>
                            <a:ext cx="2702560" cy="2129155"/>
                          </a:xfrm>
                          <a:prstGeom prst="rect">
                            <a:avLst/>
                          </a:prstGeom>
                          <a:noFill/>
                          <a:ln w="6350" cmpd="sng">
                            <a:solidFill>
                              <a:srgbClr val="000000"/>
                            </a:solidFill>
                            <a:miter lim="800000"/>
                            <a:headEnd/>
                            <a:tailEnd/>
                          </a:ln>
                          <a:effectLst/>
                        </pic:spPr>
                      </pic:pic>
                    </a:graphicData>
                  </a:graphic>
                </wp:inline>
              </w:drawing>
            </w:r>
          </w:p>
        </w:tc>
      </w:tr>
      <w:tr w:rsidR="00C00A73" w:rsidRPr="00842300" w:rsidTr="00F30E22">
        <w:tc>
          <w:tcPr>
            <w:tcW w:w="4503" w:type="dxa"/>
          </w:tcPr>
          <w:p w:rsidR="00C00A73" w:rsidRPr="00842300" w:rsidRDefault="00C00A73" w:rsidP="00F30E22">
            <w:pPr>
              <w:pStyle w:val="NormalWeb"/>
              <w:spacing w:before="0" w:beforeAutospacing="0" w:after="0" w:afterAutospacing="0"/>
              <w:jc w:val="center"/>
              <w:rPr>
                <w:rFonts w:ascii="Times New Roman" w:eastAsia="SimSun" w:hAnsi="Times New Roman" w:cs="Times New Roman"/>
                <w:sz w:val="24"/>
                <w:lang w:val="de-DE"/>
              </w:rPr>
            </w:pPr>
            <w:r w:rsidRPr="00842300">
              <w:rPr>
                <w:rFonts w:ascii="Times New Roman" w:hAnsi="Times New Roman" w:cs="Times New Roman"/>
                <w:b/>
                <w:i/>
                <w:noProof/>
                <w:sz w:val="18"/>
                <w:szCs w:val="18"/>
                <w:lang w:val="de-DE"/>
              </w:rPr>
              <w:t>Hình 5: Mối quan hệ của COD hòa tan (Hệ IC)</w:t>
            </w:r>
          </w:p>
        </w:tc>
        <w:tc>
          <w:tcPr>
            <w:tcW w:w="283" w:type="dxa"/>
          </w:tcPr>
          <w:p w:rsidR="00C00A73" w:rsidRPr="00842300" w:rsidRDefault="00C00A73" w:rsidP="00F30E22">
            <w:pPr>
              <w:pStyle w:val="NormalWeb"/>
              <w:spacing w:before="0" w:beforeAutospacing="0" w:after="0" w:afterAutospacing="0"/>
              <w:jc w:val="center"/>
              <w:rPr>
                <w:rFonts w:ascii="Times New Roman" w:eastAsia="SimSun" w:hAnsi="Times New Roman" w:cs="Times New Roman"/>
                <w:sz w:val="24"/>
                <w:lang w:val="de-DE"/>
              </w:rPr>
            </w:pPr>
          </w:p>
        </w:tc>
        <w:tc>
          <w:tcPr>
            <w:tcW w:w="4501" w:type="dxa"/>
          </w:tcPr>
          <w:p w:rsidR="00C00A73" w:rsidRPr="00842300" w:rsidRDefault="00C00A73" w:rsidP="00F30E22">
            <w:pPr>
              <w:pStyle w:val="NormalWeb"/>
              <w:spacing w:before="0" w:beforeAutospacing="0" w:after="0" w:afterAutospacing="0"/>
              <w:jc w:val="center"/>
              <w:rPr>
                <w:rFonts w:ascii="Times New Roman" w:eastAsia="SimSun" w:hAnsi="Times New Roman" w:cs="Times New Roman"/>
                <w:sz w:val="24"/>
                <w:lang w:val="de-DE"/>
              </w:rPr>
            </w:pPr>
            <w:r w:rsidRPr="00842300">
              <w:rPr>
                <w:rFonts w:ascii="Times New Roman" w:hAnsi="Times New Roman" w:cs="Times New Roman"/>
                <w:b/>
                <w:i/>
                <w:noProof/>
                <w:sz w:val="18"/>
                <w:szCs w:val="18"/>
                <w:lang w:val="de-DE"/>
              </w:rPr>
              <w:t>Hình 6: Mối quan hệ của COD hòa tan (Hệ ABR)</w:t>
            </w:r>
          </w:p>
        </w:tc>
      </w:tr>
    </w:tbl>
    <w:p w:rsidR="00C00A73" w:rsidRPr="00615C75" w:rsidRDefault="00C00A73" w:rsidP="00DB46F9">
      <w:pPr>
        <w:pStyle w:val="NormalWeb"/>
        <w:spacing w:before="120" w:beforeAutospacing="0" w:after="120" w:afterAutospacing="0"/>
        <w:ind w:firstLine="720"/>
        <w:rPr>
          <w:rFonts w:ascii="Times New Roman" w:eastAsia="SimSun" w:hAnsi="Times New Roman" w:cs="Times New Roman"/>
          <w:sz w:val="24"/>
          <w:lang w:val="de-DE"/>
        </w:rPr>
      </w:pPr>
      <w:r w:rsidRPr="00615C75">
        <w:rPr>
          <w:rFonts w:ascii="Times New Roman" w:eastAsia="SimSun" w:hAnsi="Times New Roman" w:cs="Times New Roman"/>
          <w:sz w:val="24"/>
          <w:lang w:val="de-DE"/>
        </w:rPr>
        <w:t>Đồ thị trong hình 5 cho thấy hiệu suất xử lý COD hòa tan trung bình của hệ IC đạt trong khoảng từ 54-72% và HS trung bình có xu hướng giảm xuống theo phương trình hồi quy   y = -0,0094x</w:t>
      </w:r>
      <w:r w:rsidRPr="00615C75">
        <w:rPr>
          <w:rFonts w:ascii="Times New Roman" w:eastAsia="SimSun" w:hAnsi="Times New Roman" w:cs="Times New Roman"/>
          <w:sz w:val="24"/>
          <w:vertAlign w:val="superscript"/>
          <w:lang w:val="de-DE"/>
        </w:rPr>
        <w:t>2</w:t>
      </w:r>
      <w:r w:rsidRPr="00615C75">
        <w:rPr>
          <w:rFonts w:ascii="Times New Roman" w:eastAsia="SimSun" w:hAnsi="Times New Roman" w:cs="Times New Roman"/>
          <w:sz w:val="24"/>
          <w:lang w:val="de-DE"/>
        </w:rPr>
        <w:t xml:space="preserve"> + 0,7143x. Trong khi đó hệ ABR đạt hiệu suất trung bình trong khoảng từ 60-71 % (trừ điểm giai đoạn khởi động có TL = 0,6 kgCOD/m</w:t>
      </w:r>
      <w:r w:rsidRPr="00615C75">
        <w:rPr>
          <w:rFonts w:ascii="Times New Roman" w:eastAsia="SimSun" w:hAnsi="Times New Roman" w:cs="Times New Roman"/>
          <w:sz w:val="24"/>
          <w:vertAlign w:val="superscript"/>
          <w:lang w:val="de-DE"/>
        </w:rPr>
        <w:t>3</w:t>
      </w:r>
      <w:r w:rsidRPr="00615C75">
        <w:rPr>
          <w:rFonts w:ascii="Times New Roman" w:eastAsia="SimSun" w:hAnsi="Times New Roman" w:cs="Times New Roman"/>
          <w:sz w:val="24"/>
          <w:lang w:val="de-DE"/>
        </w:rPr>
        <w:t>/ngày, HS = 33%) và HS trung bình có xu hướng giảm xuống theo phương trình hồi quy y = -0,0044x</w:t>
      </w:r>
      <w:r w:rsidRPr="00615C75">
        <w:rPr>
          <w:rFonts w:ascii="Times New Roman" w:eastAsia="SimSun" w:hAnsi="Times New Roman" w:cs="Times New Roman"/>
          <w:sz w:val="24"/>
          <w:vertAlign w:val="superscript"/>
          <w:lang w:val="de-DE"/>
        </w:rPr>
        <w:t>2</w:t>
      </w:r>
      <w:r w:rsidRPr="00615C75">
        <w:rPr>
          <w:rFonts w:ascii="Times New Roman" w:eastAsia="SimSun" w:hAnsi="Times New Roman" w:cs="Times New Roman"/>
          <w:sz w:val="24"/>
          <w:lang w:val="de-DE"/>
        </w:rPr>
        <w:t xml:space="preserve"> + 0,6682x.</w:t>
      </w:r>
    </w:p>
    <w:p w:rsidR="00C00A73" w:rsidRPr="00B050C3" w:rsidRDefault="00C00A73" w:rsidP="00DB46F9">
      <w:pPr>
        <w:pStyle w:val="NormalWeb"/>
        <w:spacing w:before="120" w:beforeAutospacing="0" w:after="120" w:afterAutospacing="0"/>
        <w:ind w:firstLine="720"/>
        <w:rPr>
          <w:rFonts w:ascii="Times New Roman" w:hAnsi="Times New Roman" w:cs="Times New Roman"/>
          <w:b/>
          <w:sz w:val="24"/>
          <w:lang w:val="de-DE"/>
        </w:rPr>
      </w:pPr>
      <w:r w:rsidRPr="00615C75">
        <w:rPr>
          <w:rFonts w:ascii="Times New Roman" w:eastAsia="SimSun" w:hAnsi="Times New Roman" w:cs="Times New Roman"/>
          <w:sz w:val="24"/>
          <w:lang w:val="de-DE"/>
        </w:rPr>
        <w:t>So sánh hệ ABR và hệ IC</w:t>
      </w:r>
      <w:r w:rsidRPr="00615C75" w:rsidDel="001C7895">
        <w:rPr>
          <w:rFonts w:ascii="Times New Roman" w:eastAsia="SimSun" w:hAnsi="Times New Roman" w:cs="Times New Roman"/>
          <w:sz w:val="24"/>
          <w:lang w:val="de-DE"/>
        </w:rPr>
        <w:t xml:space="preserve"> </w:t>
      </w:r>
      <w:r w:rsidRPr="00615C75">
        <w:rPr>
          <w:rFonts w:ascii="Times New Roman" w:eastAsia="SimSun" w:hAnsi="Times New Roman" w:cs="Times New Roman"/>
          <w:sz w:val="24"/>
          <w:lang w:val="de-DE"/>
        </w:rPr>
        <w:t>có thể nói rằng hiệu suất xử lý COD hòa tan trung bình của hai hệ là tương đương nhau và ổn định như nhau do các giá trị sai số của NSXL gần bằng nhau, hiệu quả xử lý của hai hệ đều có xu hướng giảm xuống khi tăng dần tải lượng COD hòa tan đầu vào.</w:t>
      </w:r>
    </w:p>
    <w:p w:rsidR="00C00A73" w:rsidRPr="00615C75" w:rsidRDefault="00C00A73" w:rsidP="00C00A73">
      <w:pPr>
        <w:pStyle w:val="NormalWeb"/>
        <w:spacing w:before="240" w:beforeAutospacing="0" w:after="120" w:afterAutospacing="0" w:line="288" w:lineRule="auto"/>
        <w:rPr>
          <w:rFonts w:ascii="Times New Roman" w:eastAsia="SimSun" w:hAnsi="Times New Roman" w:cs="Times New Roman"/>
          <w:b/>
          <w:sz w:val="24"/>
          <w:lang w:val="de-DE"/>
        </w:rPr>
      </w:pPr>
      <w:r w:rsidRPr="00615C75">
        <w:rPr>
          <w:rFonts w:ascii="Times New Roman" w:hAnsi="Times New Roman" w:cs="Times New Roman"/>
          <w:b/>
          <w:sz w:val="24"/>
          <w:lang w:val="vi-VN"/>
        </w:rPr>
        <w:t>4. Kết luận</w:t>
      </w:r>
    </w:p>
    <w:p w:rsidR="00C00A73" w:rsidRPr="00615C75" w:rsidRDefault="00C00A73" w:rsidP="00440704">
      <w:pPr>
        <w:pStyle w:val="NormalWeb"/>
        <w:spacing w:before="120" w:beforeAutospacing="0" w:after="120" w:afterAutospacing="0"/>
        <w:ind w:firstLine="720"/>
        <w:rPr>
          <w:rFonts w:ascii="Times New Roman" w:eastAsia="SimSun" w:hAnsi="Times New Roman" w:cs="Times New Roman"/>
          <w:sz w:val="24"/>
          <w:lang w:val="de-DE"/>
        </w:rPr>
      </w:pPr>
      <w:r w:rsidRPr="00615C75">
        <w:rPr>
          <w:rFonts w:ascii="Times New Roman" w:eastAsia="SimSun" w:hAnsi="Times New Roman" w:cs="Times New Roman"/>
          <w:sz w:val="24"/>
          <w:lang w:val="de-DE"/>
        </w:rPr>
        <w:t xml:space="preserve">Kết quả nghiên cứu và đánh giá mối quan hệ giữa tải lượng với năng suất xử lý và hiệu suất xử lý COD của hai hệ thí nghiệm IC và ABR cho thấy: Hệ ABR xử lý COD tổng hiệu quả và ổn định hơn hệ IC, hai hệ đều xử lý COD hòa tan ổn định và xu hướng hiệu quả xử lý là </w:t>
      </w:r>
      <w:r w:rsidRPr="00615C75">
        <w:rPr>
          <w:rFonts w:ascii="Times New Roman" w:eastAsia="SimSun" w:hAnsi="Times New Roman" w:cs="Times New Roman"/>
          <w:sz w:val="24"/>
          <w:lang w:val="de-DE"/>
        </w:rPr>
        <w:lastRenderedPageBreak/>
        <w:t>tương đương nhau.</w:t>
      </w:r>
    </w:p>
    <w:p w:rsidR="00C00A73" w:rsidRDefault="00C00A73" w:rsidP="00440704">
      <w:pPr>
        <w:pStyle w:val="NormalWeb"/>
        <w:spacing w:before="120" w:beforeAutospacing="0" w:after="120" w:afterAutospacing="0"/>
        <w:ind w:firstLine="720"/>
        <w:rPr>
          <w:rFonts w:ascii="Times New Roman" w:eastAsia="SimSun" w:hAnsi="Times New Roman" w:cs="Times New Roman"/>
          <w:sz w:val="24"/>
          <w:lang w:val="de-DE"/>
        </w:rPr>
      </w:pPr>
      <w:r w:rsidRPr="00615C75">
        <w:rPr>
          <w:rFonts w:ascii="Times New Roman" w:eastAsia="SimSun" w:hAnsi="Times New Roman" w:cs="Times New Roman"/>
          <w:sz w:val="24"/>
          <w:lang w:val="de-DE"/>
        </w:rPr>
        <w:t>Mối quan hệ giữa tải lượng COD đầu vào với năng suất xử lý và hiệu suất xử lý COD thiết lập được làm cơ sở lựa chọn công nghệ, tính toán, thiết kế xây dựng một hệ xử lý nước thải giàu hữu cơ trên thực tế với điều kiện vận hành tương tự.</w:t>
      </w:r>
    </w:p>
    <w:p w:rsidR="00C00A73" w:rsidRPr="00440704" w:rsidRDefault="00C00A73" w:rsidP="00C00A73">
      <w:pPr>
        <w:pStyle w:val="NormalWeb"/>
        <w:spacing w:before="240" w:beforeAutospacing="0" w:after="120" w:afterAutospacing="0" w:line="288" w:lineRule="auto"/>
        <w:rPr>
          <w:rFonts w:ascii="Times New Roman" w:hAnsi="Times New Roman" w:cs="Times New Roman"/>
          <w:b/>
          <w:sz w:val="24"/>
          <w:lang w:val="de-DE"/>
        </w:rPr>
      </w:pPr>
      <w:r w:rsidRPr="00615C75">
        <w:rPr>
          <w:rFonts w:ascii="Times New Roman" w:hAnsi="Times New Roman" w:cs="Times New Roman"/>
          <w:b/>
          <w:sz w:val="24"/>
          <w:lang w:val="vi-VN"/>
        </w:rPr>
        <w:t>Lời cảm ơn</w:t>
      </w:r>
      <w:r w:rsidR="00440704" w:rsidRPr="00440704">
        <w:rPr>
          <w:rFonts w:ascii="Times New Roman" w:hAnsi="Times New Roman" w:cs="Times New Roman"/>
          <w:b/>
          <w:sz w:val="24"/>
          <w:lang w:val="de-DE"/>
        </w:rPr>
        <w:t xml:space="preserve">:  </w:t>
      </w:r>
    </w:p>
    <w:p w:rsidR="00C00A73" w:rsidRDefault="00440704" w:rsidP="00440704">
      <w:pPr>
        <w:pStyle w:val="NormalWeb"/>
        <w:spacing w:before="120" w:beforeAutospacing="0" w:after="120" w:afterAutospacing="0"/>
        <w:rPr>
          <w:rFonts w:ascii="Times New Roman" w:eastAsia="SimSun" w:hAnsi="Times New Roman" w:cs="Times New Roman"/>
          <w:sz w:val="24"/>
          <w:lang w:val="de-DE"/>
        </w:rPr>
      </w:pPr>
      <w:r>
        <w:rPr>
          <w:rFonts w:ascii="Times New Roman" w:eastAsia="SimSun" w:hAnsi="Times New Roman" w:cs="Times New Roman"/>
          <w:sz w:val="24"/>
          <w:lang w:val="de-DE"/>
        </w:rPr>
        <w:t xml:space="preserve">      </w:t>
      </w:r>
      <w:r w:rsidR="00C00A73" w:rsidRPr="00615C75">
        <w:rPr>
          <w:rFonts w:ascii="Times New Roman" w:eastAsia="SimSun" w:hAnsi="Times New Roman" w:cs="Times New Roman"/>
          <w:sz w:val="24"/>
          <w:lang w:val="de-DE"/>
        </w:rPr>
        <w:t xml:space="preserve">Các tác giả xin cám ơn Đề tài cấp nhà nước </w:t>
      </w:r>
      <w:r w:rsidR="00C00A73" w:rsidRPr="00615C75">
        <w:rPr>
          <w:rFonts w:ascii="Times New Roman" w:eastAsia="SimSun" w:hAnsi="Times New Roman" w:cs="Times New Roman"/>
          <w:i/>
          <w:sz w:val="24"/>
          <w:lang w:val="de-DE"/>
        </w:rPr>
        <w:t>“Nghiên cứu và ứng dụng công nghệ tiên tiến phù hợp với điều kiện Việt Nam để xử lý ô nhiễm môi trường kết hợp với tận dụng chất thải của các trang trại chăn nuôi lợn.”</w:t>
      </w:r>
      <w:r w:rsidR="00C00A73" w:rsidRPr="00615C75">
        <w:rPr>
          <w:rFonts w:ascii="Times New Roman" w:eastAsia="SimSun" w:hAnsi="Times New Roman" w:cs="Times New Roman"/>
          <w:sz w:val="24"/>
          <w:lang w:val="de-DE"/>
        </w:rPr>
        <w:t xml:space="preserve"> Mã số: KC.08.04/11-15 do Bộ Khoa học và Công nghệ tài trợ.</w:t>
      </w:r>
    </w:p>
    <w:p w:rsidR="00C00A73" w:rsidRDefault="00C00A73" w:rsidP="00C00A73">
      <w:pPr>
        <w:pStyle w:val="NormalWeb"/>
        <w:spacing w:before="240" w:beforeAutospacing="0" w:after="120" w:afterAutospacing="0" w:line="288" w:lineRule="auto"/>
        <w:rPr>
          <w:rFonts w:ascii="Times New Roman" w:hAnsi="Times New Roman" w:cs="Times New Roman"/>
          <w:b/>
          <w:sz w:val="24"/>
        </w:rPr>
      </w:pPr>
      <w:r w:rsidRPr="00615C75">
        <w:rPr>
          <w:rFonts w:ascii="Times New Roman" w:hAnsi="Times New Roman" w:cs="Times New Roman"/>
          <w:b/>
          <w:sz w:val="24"/>
          <w:lang w:val="vi-VN"/>
        </w:rPr>
        <w:t>Tài liệu tham khảo</w:t>
      </w:r>
    </w:p>
    <w:p w:rsidR="00C00A73" w:rsidRPr="00457957" w:rsidRDefault="00C00A73" w:rsidP="00C00A73">
      <w:pPr>
        <w:pStyle w:val="Style89"/>
        <w:numPr>
          <w:ilvl w:val="0"/>
          <w:numId w:val="1"/>
        </w:numPr>
        <w:spacing w:before="120" w:after="120"/>
        <w:rPr>
          <w:sz w:val="22"/>
          <w:szCs w:val="22"/>
        </w:rPr>
      </w:pPr>
      <w:r w:rsidRPr="00457957">
        <w:rPr>
          <w:sz w:val="22"/>
          <w:szCs w:val="22"/>
        </w:rPr>
        <w:t>Lettinga</w:t>
      </w:r>
      <w:r w:rsidRPr="00457957">
        <w:rPr>
          <w:kern w:val="36"/>
          <w:sz w:val="22"/>
          <w:szCs w:val="22"/>
        </w:rPr>
        <w:t xml:space="preserve"> G. (1995) Anaerobic digestion and wastewater treatment systems. </w:t>
      </w:r>
      <w:hyperlink r:id="rId25" w:history="1">
        <w:r w:rsidRPr="00457957">
          <w:rPr>
            <w:sz w:val="22"/>
            <w:szCs w:val="22"/>
            <w:bdr w:val="none" w:sz="0" w:space="0" w:color="auto" w:frame="1"/>
          </w:rPr>
          <w:t>Antonie van Leeuwenhoek</w:t>
        </w:r>
      </w:hyperlink>
      <w:r w:rsidRPr="00457957">
        <w:rPr>
          <w:sz w:val="22"/>
          <w:szCs w:val="22"/>
        </w:rPr>
        <w:t xml:space="preserve">, </w:t>
      </w:r>
      <w:r w:rsidRPr="00457957">
        <w:rPr>
          <w:sz w:val="22"/>
          <w:szCs w:val="22"/>
          <w:bdr w:val="none" w:sz="0" w:space="0" w:color="auto" w:frame="1"/>
        </w:rPr>
        <w:t>Vol.67</w:t>
      </w:r>
      <w:r w:rsidRPr="00457957">
        <w:rPr>
          <w:sz w:val="22"/>
          <w:szCs w:val="22"/>
        </w:rPr>
        <w:t>, </w:t>
      </w:r>
      <w:hyperlink r:id="rId26" w:history="1">
        <w:r w:rsidRPr="00457957">
          <w:rPr>
            <w:sz w:val="22"/>
            <w:szCs w:val="22"/>
            <w:bdr w:val="none" w:sz="0" w:space="0" w:color="auto" w:frame="1"/>
          </w:rPr>
          <w:t>Issue 1</w:t>
        </w:r>
      </w:hyperlink>
      <w:r w:rsidRPr="00457957">
        <w:rPr>
          <w:sz w:val="22"/>
          <w:szCs w:val="22"/>
        </w:rPr>
        <w:t>, </w:t>
      </w:r>
      <w:r w:rsidRPr="00457957">
        <w:rPr>
          <w:sz w:val="22"/>
          <w:szCs w:val="22"/>
          <w:bdr w:val="none" w:sz="0" w:space="0" w:color="auto" w:frame="1"/>
        </w:rPr>
        <w:t>pp 3-28</w:t>
      </w:r>
      <w:r w:rsidRPr="00457957">
        <w:rPr>
          <w:sz w:val="22"/>
          <w:szCs w:val="22"/>
        </w:rPr>
        <w:t>.</w:t>
      </w:r>
    </w:p>
    <w:p w:rsidR="00C00A73" w:rsidRPr="00457957" w:rsidRDefault="00C00A73" w:rsidP="00C00A73">
      <w:pPr>
        <w:pStyle w:val="Style89"/>
        <w:numPr>
          <w:ilvl w:val="0"/>
          <w:numId w:val="1"/>
        </w:numPr>
        <w:spacing w:before="120" w:after="120"/>
        <w:rPr>
          <w:sz w:val="22"/>
          <w:szCs w:val="22"/>
        </w:rPr>
      </w:pPr>
      <w:r w:rsidRPr="00457957">
        <w:rPr>
          <w:sz w:val="22"/>
          <w:szCs w:val="22"/>
        </w:rPr>
        <w:t>Kassam Z.A., Yerushalmi L. and Guiot S.R. (2003) A market study on the anaerobic wastewater treatment systems. Water, Air, and Soil Pollution</w:t>
      </w:r>
      <w:r w:rsidRPr="00457957">
        <w:rPr>
          <w:rStyle w:val="Bodytext315pt"/>
          <w:sz w:val="22"/>
          <w:szCs w:val="22"/>
        </w:rPr>
        <w:t xml:space="preserve"> </w:t>
      </w:r>
      <w:r w:rsidRPr="00457957">
        <w:rPr>
          <w:iCs/>
          <w:sz w:val="22"/>
          <w:szCs w:val="22"/>
        </w:rPr>
        <w:t>143: 179-192,</w:t>
      </w:r>
      <w:r w:rsidRPr="00457957">
        <w:rPr>
          <w:rStyle w:val="Bodytext315pt"/>
          <w:sz w:val="22"/>
          <w:szCs w:val="22"/>
        </w:rPr>
        <w:t xml:space="preserve"> </w:t>
      </w:r>
      <w:r w:rsidRPr="00457957">
        <w:rPr>
          <w:sz w:val="22"/>
          <w:szCs w:val="22"/>
        </w:rPr>
        <w:t>Kluwer Academic Publishers.</w:t>
      </w:r>
    </w:p>
    <w:p w:rsidR="00C00A73" w:rsidRPr="00457957" w:rsidRDefault="00C00A73" w:rsidP="00C00A73">
      <w:pPr>
        <w:pStyle w:val="Style89"/>
        <w:numPr>
          <w:ilvl w:val="0"/>
          <w:numId w:val="1"/>
        </w:numPr>
        <w:spacing w:before="120" w:after="120"/>
        <w:rPr>
          <w:sz w:val="22"/>
          <w:szCs w:val="22"/>
        </w:rPr>
      </w:pPr>
      <w:r w:rsidRPr="00457957">
        <w:rPr>
          <w:sz w:val="22"/>
          <w:szCs w:val="22"/>
        </w:rPr>
        <w:t>Jules B. van Lier &amp; Grietje Zeeman (2009), Current Trends in Anaerobic Digestion: Diversifying from waste(water) treatment to resource oriented energetic conversion techniques.</w:t>
      </w:r>
    </w:p>
    <w:p w:rsidR="00C00A73" w:rsidRPr="00457957" w:rsidRDefault="00C00A73" w:rsidP="00C00A73">
      <w:pPr>
        <w:pStyle w:val="Style89"/>
        <w:numPr>
          <w:ilvl w:val="0"/>
          <w:numId w:val="1"/>
        </w:numPr>
        <w:spacing w:before="120" w:after="120"/>
        <w:rPr>
          <w:sz w:val="22"/>
          <w:szCs w:val="22"/>
        </w:rPr>
      </w:pPr>
      <w:r w:rsidRPr="00457957">
        <w:rPr>
          <w:sz w:val="22"/>
          <w:szCs w:val="22"/>
          <w:lang w:val="en-US"/>
        </w:rPr>
        <w:t>Van Lier J.B. – New challenges for wastewater: from pollution prevention to resource recovery in “Nieuwe Uitdagingen”, TU Delf, Published by water Management Academic Press, Delft, The Netherlands, 2009, pp.57-67.</w:t>
      </w:r>
    </w:p>
    <w:p w:rsidR="00C00A73" w:rsidRPr="00457957" w:rsidRDefault="00C00A73" w:rsidP="00C00A73">
      <w:pPr>
        <w:pStyle w:val="Style89"/>
        <w:numPr>
          <w:ilvl w:val="0"/>
          <w:numId w:val="1"/>
        </w:numPr>
        <w:spacing w:before="120" w:after="120"/>
        <w:rPr>
          <w:sz w:val="22"/>
          <w:szCs w:val="22"/>
        </w:rPr>
      </w:pPr>
      <w:r w:rsidRPr="00457957">
        <w:rPr>
          <w:sz w:val="22"/>
          <w:szCs w:val="22"/>
        </w:rPr>
        <w:t>Standard method, 5220 D Closed Reflux, Colorimetric method, pp 5-15</w:t>
      </w:r>
      <w:r w:rsidRPr="00457957">
        <w:rPr>
          <w:sz w:val="22"/>
          <w:szCs w:val="22"/>
          <w:lang w:val="en-US"/>
        </w:rPr>
        <w:t>.</w:t>
      </w:r>
    </w:p>
    <w:p w:rsidR="00C00A73" w:rsidRPr="00457957" w:rsidRDefault="00C00A73" w:rsidP="00C00A73">
      <w:pPr>
        <w:pStyle w:val="Style89"/>
        <w:numPr>
          <w:ilvl w:val="0"/>
          <w:numId w:val="1"/>
        </w:numPr>
        <w:spacing w:before="120" w:after="120"/>
        <w:rPr>
          <w:sz w:val="22"/>
          <w:szCs w:val="22"/>
        </w:rPr>
      </w:pPr>
      <w:r w:rsidRPr="00457957">
        <w:rPr>
          <w:sz w:val="22"/>
          <w:szCs w:val="22"/>
          <w:lang w:val="en-US"/>
        </w:rPr>
        <w:t>Water &amp; wastewater examination manual, Adams. V. Dean, 1990.</w:t>
      </w:r>
    </w:p>
    <w:p w:rsidR="00C00A73" w:rsidRPr="00457957" w:rsidRDefault="00C00A73" w:rsidP="00C00A73">
      <w:pPr>
        <w:pStyle w:val="Style89"/>
        <w:numPr>
          <w:ilvl w:val="0"/>
          <w:numId w:val="1"/>
        </w:numPr>
        <w:spacing w:before="120" w:after="120"/>
        <w:rPr>
          <w:sz w:val="22"/>
          <w:szCs w:val="22"/>
        </w:rPr>
      </w:pPr>
      <w:r w:rsidRPr="00457957">
        <w:rPr>
          <w:bCs/>
          <w:sz w:val="22"/>
          <w:szCs w:val="22"/>
        </w:rPr>
        <w:t>Liang-Wei Deng, Ping Zheng, and Zi-Ai Chen,</w:t>
      </w:r>
      <w:r w:rsidRPr="00457957">
        <w:rPr>
          <w:b/>
          <w:bCs/>
          <w:sz w:val="22"/>
          <w:szCs w:val="22"/>
        </w:rPr>
        <w:t xml:space="preserve"> </w:t>
      </w:r>
      <w:r w:rsidRPr="00457957">
        <w:rPr>
          <w:sz w:val="22"/>
          <w:szCs w:val="22"/>
        </w:rPr>
        <w:t xml:space="preserve">Anaerobic digestion and post-treatment of swine wastewater using IC–SBR process with bypass of raw wastewater, </w:t>
      </w:r>
      <w:hyperlink r:id="rId27" w:history="1">
        <w:r w:rsidRPr="00457957">
          <w:rPr>
            <w:sz w:val="22"/>
            <w:szCs w:val="22"/>
          </w:rPr>
          <w:t>Process Biochemistry</w:t>
        </w:r>
      </w:hyperlink>
      <w:r w:rsidRPr="00457957">
        <w:rPr>
          <w:sz w:val="22"/>
          <w:szCs w:val="22"/>
        </w:rPr>
        <w:t xml:space="preserve">, </w:t>
      </w:r>
      <w:hyperlink r:id="rId28" w:history="1">
        <w:r w:rsidRPr="00457957">
          <w:rPr>
            <w:sz w:val="22"/>
            <w:szCs w:val="22"/>
          </w:rPr>
          <w:t>Volume 41, Issue 4</w:t>
        </w:r>
      </w:hyperlink>
      <w:r w:rsidRPr="00457957">
        <w:rPr>
          <w:sz w:val="22"/>
          <w:szCs w:val="22"/>
        </w:rPr>
        <w:t>, April 2006, Pages 965-969</w:t>
      </w:r>
      <w:r w:rsidRPr="00457957">
        <w:rPr>
          <w:sz w:val="22"/>
          <w:szCs w:val="22"/>
          <w:lang w:val="en-US"/>
        </w:rPr>
        <w:t>.</w:t>
      </w:r>
    </w:p>
    <w:p w:rsidR="00C00A73" w:rsidRPr="00457957" w:rsidRDefault="00C00A73" w:rsidP="00C00A73">
      <w:pPr>
        <w:pStyle w:val="Style89"/>
        <w:numPr>
          <w:ilvl w:val="0"/>
          <w:numId w:val="1"/>
        </w:numPr>
        <w:spacing w:before="120" w:after="120"/>
        <w:rPr>
          <w:sz w:val="22"/>
          <w:szCs w:val="22"/>
        </w:rPr>
      </w:pPr>
      <w:r w:rsidRPr="00457957">
        <w:rPr>
          <w:bCs/>
          <w:sz w:val="22"/>
          <w:szCs w:val="22"/>
        </w:rPr>
        <w:t xml:space="preserve">P.Y. Yang and C.Y. Chou, </w:t>
      </w:r>
      <w:r w:rsidRPr="00457957">
        <w:rPr>
          <w:sz w:val="22"/>
          <w:szCs w:val="22"/>
        </w:rPr>
        <w:t xml:space="preserve">Horizontal-baffled anaerobic reactor for treating diluted swine wastewater, </w:t>
      </w:r>
      <w:hyperlink r:id="rId29" w:history="1">
        <w:r w:rsidRPr="00457957">
          <w:rPr>
            <w:sz w:val="22"/>
            <w:szCs w:val="22"/>
          </w:rPr>
          <w:t>Agricultural Wastes</w:t>
        </w:r>
      </w:hyperlink>
      <w:r w:rsidRPr="00457957">
        <w:rPr>
          <w:sz w:val="22"/>
          <w:szCs w:val="22"/>
        </w:rPr>
        <w:t xml:space="preserve">, </w:t>
      </w:r>
      <w:hyperlink r:id="rId30" w:history="1">
        <w:r w:rsidRPr="00457957">
          <w:rPr>
            <w:sz w:val="22"/>
            <w:szCs w:val="22"/>
          </w:rPr>
          <w:t>Volume 14, Issue 3</w:t>
        </w:r>
      </w:hyperlink>
      <w:r w:rsidRPr="00457957">
        <w:rPr>
          <w:sz w:val="22"/>
          <w:szCs w:val="22"/>
        </w:rPr>
        <w:t>, 1985, Pages 221-239</w:t>
      </w:r>
      <w:r w:rsidRPr="00457957">
        <w:rPr>
          <w:sz w:val="22"/>
          <w:szCs w:val="22"/>
          <w:lang w:val="en-US"/>
        </w:rPr>
        <w:t>.</w:t>
      </w:r>
      <w:r w:rsidRPr="00457957">
        <w:rPr>
          <w:sz w:val="22"/>
          <w:szCs w:val="22"/>
        </w:rPr>
        <w:t xml:space="preserve"> </w:t>
      </w:r>
    </w:p>
    <w:p w:rsidR="00C00A73" w:rsidRPr="00B050C3" w:rsidRDefault="00C00A73" w:rsidP="00C00A73">
      <w:pPr>
        <w:pStyle w:val="Style89"/>
        <w:numPr>
          <w:ilvl w:val="0"/>
          <w:numId w:val="1"/>
        </w:numPr>
        <w:spacing w:before="120" w:after="120"/>
        <w:rPr>
          <w:sz w:val="22"/>
          <w:szCs w:val="22"/>
        </w:rPr>
      </w:pPr>
      <w:r w:rsidRPr="00457957">
        <w:rPr>
          <w:bCs/>
          <w:sz w:val="22"/>
          <w:szCs w:val="22"/>
        </w:rPr>
        <w:t xml:space="preserve">R. Boopathy and A. Tilche, </w:t>
      </w:r>
      <w:r w:rsidRPr="00457957">
        <w:rPr>
          <w:sz w:val="22"/>
          <w:szCs w:val="22"/>
        </w:rPr>
        <w:t xml:space="preserve">Anaerobic digestion of high strength molasses wastewater using hybrid anaerobic baffled reactor , </w:t>
      </w:r>
      <w:hyperlink r:id="rId31" w:history="1">
        <w:r w:rsidRPr="00457957">
          <w:rPr>
            <w:sz w:val="22"/>
            <w:szCs w:val="22"/>
          </w:rPr>
          <w:t>Water Research</w:t>
        </w:r>
      </w:hyperlink>
      <w:r w:rsidRPr="00457957">
        <w:rPr>
          <w:sz w:val="22"/>
          <w:szCs w:val="22"/>
        </w:rPr>
        <w:t xml:space="preserve">, </w:t>
      </w:r>
      <w:hyperlink r:id="rId32" w:history="1">
        <w:r w:rsidRPr="00457957">
          <w:rPr>
            <w:sz w:val="22"/>
            <w:szCs w:val="22"/>
          </w:rPr>
          <w:t>Volume 25, Issue 7</w:t>
        </w:r>
      </w:hyperlink>
      <w:r w:rsidRPr="00457957">
        <w:rPr>
          <w:sz w:val="22"/>
          <w:szCs w:val="22"/>
        </w:rPr>
        <w:t>, July 1991, Pages 785-790</w:t>
      </w:r>
      <w:r w:rsidRPr="00457957">
        <w:rPr>
          <w:sz w:val="22"/>
          <w:szCs w:val="22"/>
          <w:lang w:val="en-US"/>
        </w:rPr>
        <w:t>.</w:t>
      </w:r>
    </w:p>
    <w:p w:rsidR="00C00A73" w:rsidRPr="007D16B7" w:rsidRDefault="00952D6F" w:rsidP="00C00A73">
      <w:pPr>
        <w:pStyle w:val="Style78"/>
        <w:spacing w:before="360"/>
        <w:rPr>
          <w:sz w:val="32"/>
          <w:szCs w:val="32"/>
          <w:lang w:val="pt-BR"/>
        </w:rPr>
      </w:pPr>
      <w:r>
        <w:rPr>
          <w:sz w:val="32"/>
          <w:szCs w:val="32"/>
          <w:lang w:val="pt-BR"/>
        </w:rPr>
        <w:t xml:space="preserve">The dependence of </w:t>
      </w:r>
      <w:r w:rsidRPr="007D16B7">
        <w:rPr>
          <w:sz w:val="32"/>
          <w:szCs w:val="32"/>
          <w:lang w:val="pt-BR"/>
        </w:rPr>
        <w:t xml:space="preserve">removal rate and efficiency </w:t>
      </w:r>
      <w:r>
        <w:rPr>
          <w:sz w:val="32"/>
          <w:szCs w:val="32"/>
          <w:lang w:val="pt-BR"/>
        </w:rPr>
        <w:t xml:space="preserve">on </w:t>
      </w:r>
      <w:r w:rsidR="00C00A73" w:rsidRPr="007D16B7">
        <w:rPr>
          <w:sz w:val="32"/>
          <w:szCs w:val="32"/>
          <w:lang w:val="pt-BR"/>
        </w:rPr>
        <w:t xml:space="preserve"> COD loading in two anaerobic systems </w:t>
      </w:r>
      <w:r>
        <w:rPr>
          <w:sz w:val="32"/>
          <w:szCs w:val="32"/>
          <w:lang w:val="pt-BR"/>
        </w:rPr>
        <w:t>treating</w:t>
      </w:r>
      <w:r w:rsidR="00C00A73" w:rsidRPr="007D16B7">
        <w:rPr>
          <w:sz w:val="32"/>
          <w:szCs w:val="32"/>
          <w:lang w:val="pt-BR"/>
        </w:rPr>
        <w:t xml:space="preserve"> high organic suspended wastewater </w:t>
      </w:r>
    </w:p>
    <w:p w:rsidR="00C00A73" w:rsidRPr="007D16B7" w:rsidRDefault="00C00A73" w:rsidP="00845B3E">
      <w:pPr>
        <w:pStyle w:val="Style79"/>
        <w:spacing w:before="240" w:after="120"/>
        <w:rPr>
          <w:sz w:val="24"/>
          <w:szCs w:val="24"/>
        </w:rPr>
      </w:pPr>
      <w:r w:rsidRPr="007D16B7">
        <w:rPr>
          <w:sz w:val="24"/>
          <w:szCs w:val="24"/>
        </w:rPr>
        <w:t>Nguyen Truong Quan</w:t>
      </w:r>
      <w:r w:rsidRPr="007D16B7">
        <w:rPr>
          <w:sz w:val="24"/>
          <w:szCs w:val="24"/>
          <w:vertAlign w:val="superscript"/>
        </w:rPr>
        <w:t>1</w:t>
      </w:r>
      <w:r w:rsidRPr="007D16B7">
        <w:rPr>
          <w:sz w:val="24"/>
          <w:szCs w:val="24"/>
        </w:rPr>
        <w:t>, Vo Thi Thanh Tam</w:t>
      </w:r>
      <w:r w:rsidRPr="007D16B7">
        <w:rPr>
          <w:sz w:val="24"/>
          <w:szCs w:val="24"/>
          <w:vertAlign w:val="superscript"/>
        </w:rPr>
        <w:t>1</w:t>
      </w:r>
      <w:r w:rsidRPr="007D16B7">
        <w:rPr>
          <w:sz w:val="24"/>
          <w:szCs w:val="24"/>
        </w:rPr>
        <w:t>, Cao The Ha</w:t>
      </w:r>
      <w:r w:rsidRPr="007D16B7">
        <w:rPr>
          <w:sz w:val="24"/>
          <w:szCs w:val="24"/>
          <w:vertAlign w:val="superscript"/>
        </w:rPr>
        <w:t>1</w:t>
      </w:r>
      <w:r w:rsidRPr="007D16B7">
        <w:rPr>
          <w:sz w:val="24"/>
          <w:szCs w:val="24"/>
        </w:rPr>
        <w:t>, Le Van Chieu</w:t>
      </w:r>
      <w:r w:rsidRPr="007D16B7">
        <w:rPr>
          <w:sz w:val="24"/>
          <w:szCs w:val="24"/>
          <w:vertAlign w:val="superscript"/>
        </w:rPr>
        <w:t>2</w:t>
      </w:r>
      <w:r w:rsidR="007D16B7">
        <w:rPr>
          <w:sz w:val="24"/>
          <w:szCs w:val="24"/>
        </w:rPr>
        <w:t xml:space="preserve">, </w:t>
      </w:r>
      <w:r w:rsidRPr="007D16B7">
        <w:rPr>
          <w:sz w:val="24"/>
          <w:szCs w:val="24"/>
        </w:rPr>
        <w:t>Tran Manh Hai</w:t>
      </w:r>
      <w:r w:rsidRPr="007D16B7">
        <w:rPr>
          <w:sz w:val="24"/>
          <w:szCs w:val="24"/>
          <w:vertAlign w:val="superscript"/>
        </w:rPr>
        <w:t>3</w:t>
      </w:r>
      <w:r w:rsidRPr="007D16B7">
        <w:rPr>
          <w:sz w:val="24"/>
          <w:szCs w:val="24"/>
          <w:highlight w:val="yellow"/>
        </w:rPr>
        <w:t xml:space="preserve"> </w:t>
      </w:r>
    </w:p>
    <w:p w:rsidR="00C00A73" w:rsidRDefault="00C00A73" w:rsidP="00845B3E">
      <w:pPr>
        <w:pStyle w:val="Style80"/>
      </w:pPr>
      <w:r>
        <w:rPr>
          <w:vertAlign w:val="superscript"/>
        </w:rPr>
        <w:t>1</w:t>
      </w:r>
      <w:r>
        <w:t xml:space="preserve">Research Center for Environmental Technology and Sustainable Development (CETASD), </w:t>
      </w:r>
      <w:r>
        <w:br/>
        <w:t>VNU University of Science</w:t>
      </w:r>
    </w:p>
    <w:p w:rsidR="00C00A73" w:rsidRDefault="00C00A73" w:rsidP="00845B3E">
      <w:pPr>
        <w:pStyle w:val="Style80"/>
      </w:pPr>
      <w:r>
        <w:rPr>
          <w:vertAlign w:val="superscript"/>
        </w:rPr>
        <w:t>2</w:t>
      </w:r>
      <w:r>
        <w:rPr>
          <w:lang w:val="it-IT"/>
        </w:rPr>
        <w:t xml:space="preserve"> VNU Project Management Department</w:t>
      </w:r>
    </w:p>
    <w:p w:rsidR="00C00A73" w:rsidRDefault="00C00A73" w:rsidP="00845B3E">
      <w:pPr>
        <w:pStyle w:val="Style80"/>
      </w:pPr>
      <w:r>
        <w:rPr>
          <w:vertAlign w:val="superscript"/>
        </w:rPr>
        <w:t>3</w:t>
      </w:r>
      <w:r>
        <w:rPr>
          <w:lang w:val="it-IT"/>
        </w:rPr>
        <w:t xml:space="preserve"> Institute of Environmental Technology, Vietnam Academy of Science and Technology (VAST)</w:t>
      </w:r>
    </w:p>
    <w:p w:rsidR="00C00A73" w:rsidRPr="00BD0BF1" w:rsidRDefault="00C00A73" w:rsidP="00845B3E">
      <w:pPr>
        <w:pStyle w:val="Style84"/>
        <w:tabs>
          <w:tab w:val="left" w:pos="810"/>
        </w:tabs>
        <w:spacing w:before="120" w:line="240" w:lineRule="auto"/>
        <w:rPr>
          <w:bCs/>
          <w:lang w:val="de-DE"/>
        </w:rPr>
      </w:pPr>
      <w:r w:rsidRPr="002270F2">
        <w:rPr>
          <w:b/>
        </w:rPr>
        <w:t>Abstract:</w:t>
      </w:r>
      <w:r w:rsidRPr="002270F2">
        <w:t xml:space="preserve"> </w:t>
      </w:r>
      <w:r w:rsidRPr="002919BF">
        <w:t xml:space="preserve">The </w:t>
      </w:r>
      <w:r w:rsidR="00952D6F" w:rsidRPr="002919BF">
        <w:rPr>
          <w:bCs/>
          <w:lang w:val="de-DE"/>
        </w:rPr>
        <w:t>dependence of removal rate and efficiency on</w:t>
      </w:r>
      <w:r w:rsidRPr="002919BF">
        <w:rPr>
          <w:bCs/>
          <w:lang w:val="de-DE"/>
        </w:rPr>
        <w:t xml:space="preserve"> COD loading </w:t>
      </w:r>
      <w:r w:rsidR="00952D6F" w:rsidRPr="002919BF">
        <w:rPr>
          <w:bCs/>
          <w:lang w:val="de-DE"/>
        </w:rPr>
        <w:t>in</w:t>
      </w:r>
      <w:r w:rsidRPr="002919BF">
        <w:rPr>
          <w:bCs/>
          <w:lang w:val="de-DE"/>
        </w:rPr>
        <w:t xml:space="preserve"> two anaerobic </w:t>
      </w:r>
      <w:r w:rsidR="00952D6F" w:rsidRPr="002919BF">
        <w:rPr>
          <w:bCs/>
          <w:lang w:val="de-DE"/>
        </w:rPr>
        <w:t>system</w:t>
      </w:r>
      <w:r w:rsidRPr="002919BF">
        <w:rPr>
          <w:bCs/>
          <w:lang w:val="de-DE"/>
        </w:rPr>
        <w:t xml:space="preserve">s using Internal Circulation (IC) and Anaerobic Baffle Reactor (ABR) models was </w:t>
      </w:r>
      <w:r w:rsidR="00952D6F" w:rsidRPr="002919BF">
        <w:rPr>
          <w:bCs/>
          <w:lang w:val="de-DE"/>
        </w:rPr>
        <w:t xml:space="preserve">evaluated </w:t>
      </w:r>
      <w:r w:rsidR="00816A75" w:rsidRPr="002919BF">
        <w:rPr>
          <w:bCs/>
          <w:lang w:val="de-DE"/>
        </w:rPr>
        <w:t xml:space="preserve">for treatment of piggery waste </w:t>
      </w:r>
      <w:r w:rsidR="00952D6F" w:rsidRPr="002919BF">
        <w:rPr>
          <w:bCs/>
          <w:lang w:val="de-DE"/>
        </w:rPr>
        <w:t>in this study</w:t>
      </w:r>
      <w:r w:rsidRPr="002919BF">
        <w:rPr>
          <w:bCs/>
          <w:lang w:val="de-DE"/>
        </w:rPr>
        <w:t xml:space="preserve">. Two systems were operated </w:t>
      </w:r>
      <w:r w:rsidR="00E35FFE" w:rsidRPr="002919BF">
        <w:rPr>
          <w:bCs/>
          <w:lang w:val="de-DE"/>
        </w:rPr>
        <w:t>at the same COD loading and re</w:t>
      </w:r>
      <w:r w:rsidR="002919BF">
        <w:rPr>
          <w:bCs/>
          <w:lang w:val="de-DE"/>
        </w:rPr>
        <w:t>t</w:t>
      </w:r>
      <w:r w:rsidR="00E35FFE" w:rsidRPr="002919BF">
        <w:rPr>
          <w:bCs/>
          <w:lang w:val="de-DE"/>
        </w:rPr>
        <w:t>ent</w:t>
      </w:r>
      <w:r w:rsidR="002919BF">
        <w:rPr>
          <w:bCs/>
          <w:lang w:val="de-DE"/>
        </w:rPr>
        <w:t>ion</w:t>
      </w:r>
      <w:r w:rsidR="00E35FFE" w:rsidRPr="002919BF">
        <w:rPr>
          <w:bCs/>
          <w:lang w:val="de-DE"/>
        </w:rPr>
        <w:t xml:space="preserve"> time </w:t>
      </w:r>
      <w:r w:rsidR="00816A75" w:rsidRPr="002919BF">
        <w:rPr>
          <w:bCs/>
          <w:lang w:val="de-DE"/>
        </w:rPr>
        <w:t xml:space="preserve">at room temperature </w:t>
      </w:r>
      <w:r w:rsidR="00E35FFE" w:rsidRPr="002919BF">
        <w:rPr>
          <w:bCs/>
          <w:lang w:val="de-DE"/>
        </w:rPr>
        <w:t>when using</w:t>
      </w:r>
      <w:r w:rsidRPr="002919BF">
        <w:rPr>
          <w:bCs/>
          <w:lang w:val="de-DE"/>
        </w:rPr>
        <w:t xml:space="preserve"> slugde concentration of 13.3 gVMLSS/l. </w:t>
      </w:r>
      <w:r w:rsidR="00816A75" w:rsidRPr="002919BF">
        <w:rPr>
          <w:bCs/>
          <w:lang w:val="de-DE"/>
        </w:rPr>
        <w:t xml:space="preserve">The results showed that </w:t>
      </w:r>
      <w:r w:rsidR="005E5CFF" w:rsidRPr="002919BF">
        <w:rPr>
          <w:bCs/>
          <w:lang w:val="de-DE"/>
        </w:rPr>
        <w:t xml:space="preserve">the </w:t>
      </w:r>
      <w:r w:rsidRPr="002919BF">
        <w:rPr>
          <w:bCs/>
          <w:lang w:val="de-DE"/>
        </w:rPr>
        <w:t xml:space="preserve">total COD removal </w:t>
      </w:r>
      <w:r w:rsidR="005E5CFF" w:rsidRPr="002919BF">
        <w:rPr>
          <w:bCs/>
          <w:lang w:val="de-DE"/>
        </w:rPr>
        <w:t xml:space="preserve">efficiency of IC system </w:t>
      </w:r>
      <w:r w:rsidRPr="002919BF">
        <w:rPr>
          <w:bCs/>
          <w:lang w:val="de-DE"/>
        </w:rPr>
        <w:t xml:space="preserve"> </w:t>
      </w:r>
      <w:r w:rsidR="005E5CFF" w:rsidRPr="002919BF">
        <w:rPr>
          <w:bCs/>
          <w:lang w:val="de-DE"/>
        </w:rPr>
        <w:t>was in the range 63</w:t>
      </w:r>
      <w:r w:rsidR="002919BF" w:rsidRPr="002919BF">
        <w:rPr>
          <w:bCs/>
          <w:lang w:val="de-DE"/>
        </w:rPr>
        <w:t xml:space="preserve"> </w:t>
      </w:r>
      <w:r w:rsidR="005E5CFF" w:rsidRPr="002919BF">
        <w:rPr>
          <w:bCs/>
          <w:lang w:val="de-DE"/>
        </w:rPr>
        <w:t xml:space="preserve">- 75 % and tends to decrease when increasing COD loading; </w:t>
      </w:r>
      <w:r w:rsidR="001A46C7" w:rsidRPr="002919BF">
        <w:rPr>
          <w:bCs/>
          <w:lang w:val="de-DE"/>
        </w:rPr>
        <w:t xml:space="preserve">In ABR the efficiency was in the range 67 - 77 % </w:t>
      </w:r>
      <w:r w:rsidR="005E5CFF" w:rsidRPr="002919BF">
        <w:rPr>
          <w:bCs/>
          <w:lang w:val="de-DE"/>
        </w:rPr>
        <w:t xml:space="preserve"> </w:t>
      </w:r>
      <w:r w:rsidR="001A46C7" w:rsidRPr="002919BF">
        <w:rPr>
          <w:bCs/>
          <w:lang w:val="de-DE"/>
        </w:rPr>
        <w:t>and increase when increasing COD loading. It reveals that the ABR system is more effective and stable than the IC one. Both systems treat soluble COD well</w:t>
      </w:r>
      <w:r w:rsidR="001C318E" w:rsidRPr="002919BF">
        <w:rPr>
          <w:bCs/>
          <w:lang w:val="de-DE"/>
        </w:rPr>
        <w:t>,</w:t>
      </w:r>
      <w:r w:rsidR="001A46C7" w:rsidRPr="002919BF">
        <w:rPr>
          <w:bCs/>
          <w:lang w:val="de-DE"/>
        </w:rPr>
        <w:t xml:space="preserve"> however ABR </w:t>
      </w:r>
      <w:r w:rsidR="001C318E" w:rsidRPr="002919BF">
        <w:rPr>
          <w:bCs/>
          <w:lang w:val="de-DE"/>
        </w:rPr>
        <w:t xml:space="preserve">is more advantaged in aspects of total COD and insoluble particles. </w:t>
      </w:r>
    </w:p>
    <w:p w:rsidR="00C00A73" w:rsidRPr="00B3371C" w:rsidRDefault="00C00A73" w:rsidP="00C00A73">
      <w:pPr>
        <w:rPr>
          <w:rFonts w:asciiTheme="majorHAnsi" w:hAnsiTheme="majorHAnsi" w:cstheme="majorHAnsi"/>
          <w:lang w:val="de-DE"/>
        </w:rPr>
      </w:pPr>
      <w:r w:rsidRPr="00B3371C">
        <w:rPr>
          <w:rFonts w:asciiTheme="majorHAnsi" w:hAnsiTheme="majorHAnsi" w:cstheme="majorHAnsi"/>
          <w:i/>
        </w:rPr>
        <w:t>Key words:</w:t>
      </w:r>
      <w:r w:rsidRPr="00B3371C">
        <w:rPr>
          <w:rFonts w:asciiTheme="majorHAnsi" w:hAnsiTheme="majorHAnsi" w:cstheme="majorHAnsi"/>
        </w:rPr>
        <w:t xml:space="preserve"> Anaerobic, internal circulation, anaerobic buffle reactor, load, removal capacity</w:t>
      </w:r>
      <w:r w:rsidRPr="00B3371C">
        <w:rPr>
          <w:rFonts w:asciiTheme="majorHAnsi" w:hAnsiTheme="majorHAnsi" w:cstheme="majorHAnsi"/>
          <w:sz w:val="20"/>
          <w:szCs w:val="20"/>
        </w:rPr>
        <w:t xml:space="preserve"> </w:t>
      </w:r>
      <w:r w:rsidRPr="00B3371C">
        <w:rPr>
          <w:rFonts w:asciiTheme="majorHAnsi" w:hAnsiTheme="majorHAnsi" w:cstheme="majorHAnsi"/>
          <w:sz w:val="20"/>
          <w:szCs w:val="20"/>
        </w:rPr>
        <w:tab/>
      </w:r>
    </w:p>
    <w:sectPr w:rsidR="00C00A73" w:rsidRPr="00B3371C" w:rsidSect="00900886">
      <w:footerReference w:type="default" r:id="rId33"/>
      <w:pgSz w:w="11906" w:h="16838"/>
      <w:pgMar w:top="1135" w:right="1133"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06B" w:rsidRDefault="006B406B" w:rsidP="00C40593">
      <w:pPr>
        <w:spacing w:after="0" w:line="240" w:lineRule="auto"/>
      </w:pPr>
      <w:r>
        <w:separator/>
      </w:r>
    </w:p>
  </w:endnote>
  <w:endnote w:type="continuationSeparator" w:id="0">
    <w:p w:rsidR="006B406B" w:rsidRDefault="006B406B" w:rsidP="00C40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593" w:rsidRPr="00C40593" w:rsidRDefault="00C40593">
    <w:pPr>
      <w:pStyle w:val="Footer"/>
      <w:rPr>
        <w:rFonts w:asciiTheme="majorHAnsi" w:hAnsiTheme="majorHAnsi" w:cstheme="majorHAnsi"/>
        <w:i/>
        <w:lang w:val="en-US"/>
      </w:rPr>
    </w:pPr>
    <w:r w:rsidRPr="00C40593">
      <w:rPr>
        <w:rFonts w:asciiTheme="majorHAnsi" w:hAnsiTheme="majorHAnsi" w:cstheme="majorHAnsi"/>
        <w:i/>
        <w:lang w:val="en-US"/>
      </w:rPr>
      <w:t>Liên hệ: Nguyễn Trường Quân; 0983018885 hoặc nguyentruongquan@hus.edu.vn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06B" w:rsidRDefault="006B406B" w:rsidP="00C40593">
      <w:pPr>
        <w:spacing w:after="0" w:line="240" w:lineRule="auto"/>
      </w:pPr>
      <w:r>
        <w:separator/>
      </w:r>
    </w:p>
  </w:footnote>
  <w:footnote w:type="continuationSeparator" w:id="0">
    <w:p w:rsidR="006B406B" w:rsidRDefault="006B406B" w:rsidP="00C405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F93"/>
    <w:multiLevelType w:val="multilevel"/>
    <w:tmpl w:val="00808A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C220D3F"/>
    <w:multiLevelType w:val="hybridMultilevel"/>
    <w:tmpl w:val="73C00158"/>
    <w:lvl w:ilvl="0" w:tplc="FF8C3EA8">
      <w:start w:val="1"/>
      <w:numFmt w:val="decimal"/>
      <w:pStyle w:val="toanbaiF2"/>
      <w:lvlText w:val="[%1]"/>
      <w:lvlJc w:val="right"/>
      <w:pPr>
        <w:tabs>
          <w:tab w:val="num" w:pos="397"/>
        </w:tabs>
        <w:ind w:left="397" w:hanging="113"/>
      </w:pPr>
      <w:rPr>
        <w:rFonts w:ascii="Times New Roman" w:hAnsi="Times New Roman"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footnotePr>
    <w:footnote w:id="-1"/>
    <w:footnote w:id="0"/>
  </w:footnotePr>
  <w:endnotePr>
    <w:endnote w:id="-1"/>
    <w:endnote w:id="0"/>
  </w:endnotePr>
  <w:compat/>
  <w:rsids>
    <w:rsidRoot w:val="00900886"/>
    <w:rsid w:val="0000194A"/>
    <w:rsid w:val="000028D0"/>
    <w:rsid w:val="000033EA"/>
    <w:rsid w:val="0000340B"/>
    <w:rsid w:val="00004D91"/>
    <w:rsid w:val="00004EE2"/>
    <w:rsid w:val="00005725"/>
    <w:rsid w:val="00006182"/>
    <w:rsid w:val="00006E44"/>
    <w:rsid w:val="00010438"/>
    <w:rsid w:val="0001124E"/>
    <w:rsid w:val="000126D5"/>
    <w:rsid w:val="00012888"/>
    <w:rsid w:val="0001325C"/>
    <w:rsid w:val="00013265"/>
    <w:rsid w:val="00013624"/>
    <w:rsid w:val="0001420A"/>
    <w:rsid w:val="0001553D"/>
    <w:rsid w:val="000201AE"/>
    <w:rsid w:val="00020DB8"/>
    <w:rsid w:val="00021206"/>
    <w:rsid w:val="0002216C"/>
    <w:rsid w:val="0002288B"/>
    <w:rsid w:val="00022955"/>
    <w:rsid w:val="000234A4"/>
    <w:rsid w:val="00024ABC"/>
    <w:rsid w:val="00024D56"/>
    <w:rsid w:val="00025871"/>
    <w:rsid w:val="00025950"/>
    <w:rsid w:val="0002764E"/>
    <w:rsid w:val="0002786C"/>
    <w:rsid w:val="000279BE"/>
    <w:rsid w:val="000304FF"/>
    <w:rsid w:val="00030BDB"/>
    <w:rsid w:val="000313D7"/>
    <w:rsid w:val="00031E0E"/>
    <w:rsid w:val="00032695"/>
    <w:rsid w:val="00032761"/>
    <w:rsid w:val="00034C2E"/>
    <w:rsid w:val="00036D8D"/>
    <w:rsid w:val="00037A4D"/>
    <w:rsid w:val="00037D58"/>
    <w:rsid w:val="00040F98"/>
    <w:rsid w:val="00041ACC"/>
    <w:rsid w:val="00042239"/>
    <w:rsid w:val="00042726"/>
    <w:rsid w:val="00042EEC"/>
    <w:rsid w:val="0004364F"/>
    <w:rsid w:val="00043CF5"/>
    <w:rsid w:val="0004493D"/>
    <w:rsid w:val="00045581"/>
    <w:rsid w:val="000455E8"/>
    <w:rsid w:val="00046A56"/>
    <w:rsid w:val="000472F8"/>
    <w:rsid w:val="000501B2"/>
    <w:rsid w:val="00050E92"/>
    <w:rsid w:val="00051B7A"/>
    <w:rsid w:val="00051EC6"/>
    <w:rsid w:val="000528DD"/>
    <w:rsid w:val="00052985"/>
    <w:rsid w:val="000542A7"/>
    <w:rsid w:val="00055078"/>
    <w:rsid w:val="000550D9"/>
    <w:rsid w:val="00055377"/>
    <w:rsid w:val="00056AC1"/>
    <w:rsid w:val="0005774D"/>
    <w:rsid w:val="0006148E"/>
    <w:rsid w:val="00061E6B"/>
    <w:rsid w:val="00062E0A"/>
    <w:rsid w:val="00065639"/>
    <w:rsid w:val="00065BAA"/>
    <w:rsid w:val="00065D70"/>
    <w:rsid w:val="0006698E"/>
    <w:rsid w:val="00066A29"/>
    <w:rsid w:val="00066D68"/>
    <w:rsid w:val="0006732A"/>
    <w:rsid w:val="0006742C"/>
    <w:rsid w:val="00067FF9"/>
    <w:rsid w:val="0007086B"/>
    <w:rsid w:val="00071591"/>
    <w:rsid w:val="00073154"/>
    <w:rsid w:val="00073618"/>
    <w:rsid w:val="00075050"/>
    <w:rsid w:val="0007647B"/>
    <w:rsid w:val="00076DF8"/>
    <w:rsid w:val="000773F5"/>
    <w:rsid w:val="000778BE"/>
    <w:rsid w:val="00081960"/>
    <w:rsid w:val="0008256D"/>
    <w:rsid w:val="00083082"/>
    <w:rsid w:val="000836C8"/>
    <w:rsid w:val="00084A4D"/>
    <w:rsid w:val="00084BBF"/>
    <w:rsid w:val="00084CB2"/>
    <w:rsid w:val="000857C3"/>
    <w:rsid w:val="00086772"/>
    <w:rsid w:val="000868D7"/>
    <w:rsid w:val="00086EAD"/>
    <w:rsid w:val="00087465"/>
    <w:rsid w:val="0008776D"/>
    <w:rsid w:val="00091293"/>
    <w:rsid w:val="000913F2"/>
    <w:rsid w:val="00091E70"/>
    <w:rsid w:val="00091E9F"/>
    <w:rsid w:val="00093453"/>
    <w:rsid w:val="00094C5B"/>
    <w:rsid w:val="00095023"/>
    <w:rsid w:val="000959F8"/>
    <w:rsid w:val="00096B56"/>
    <w:rsid w:val="000A0139"/>
    <w:rsid w:val="000A215D"/>
    <w:rsid w:val="000A2363"/>
    <w:rsid w:val="000A2786"/>
    <w:rsid w:val="000A2A78"/>
    <w:rsid w:val="000A3112"/>
    <w:rsid w:val="000A3173"/>
    <w:rsid w:val="000A3258"/>
    <w:rsid w:val="000A3511"/>
    <w:rsid w:val="000A3682"/>
    <w:rsid w:val="000A3A16"/>
    <w:rsid w:val="000A3F71"/>
    <w:rsid w:val="000A54EF"/>
    <w:rsid w:val="000A6460"/>
    <w:rsid w:val="000A6D51"/>
    <w:rsid w:val="000A7066"/>
    <w:rsid w:val="000B08C1"/>
    <w:rsid w:val="000B1088"/>
    <w:rsid w:val="000B1926"/>
    <w:rsid w:val="000B19B6"/>
    <w:rsid w:val="000B1DDE"/>
    <w:rsid w:val="000B2E5F"/>
    <w:rsid w:val="000B3C88"/>
    <w:rsid w:val="000B50DC"/>
    <w:rsid w:val="000B51C3"/>
    <w:rsid w:val="000B53D1"/>
    <w:rsid w:val="000B588F"/>
    <w:rsid w:val="000B6187"/>
    <w:rsid w:val="000B727B"/>
    <w:rsid w:val="000C09FB"/>
    <w:rsid w:val="000C121B"/>
    <w:rsid w:val="000C152B"/>
    <w:rsid w:val="000C2884"/>
    <w:rsid w:val="000C356D"/>
    <w:rsid w:val="000C3EA5"/>
    <w:rsid w:val="000C45FB"/>
    <w:rsid w:val="000C4DBF"/>
    <w:rsid w:val="000C5088"/>
    <w:rsid w:val="000C5C0C"/>
    <w:rsid w:val="000C6433"/>
    <w:rsid w:val="000C7460"/>
    <w:rsid w:val="000C7789"/>
    <w:rsid w:val="000D0911"/>
    <w:rsid w:val="000D12F3"/>
    <w:rsid w:val="000D1429"/>
    <w:rsid w:val="000D1D63"/>
    <w:rsid w:val="000D2A9B"/>
    <w:rsid w:val="000D386F"/>
    <w:rsid w:val="000D397D"/>
    <w:rsid w:val="000D3B3F"/>
    <w:rsid w:val="000D49A7"/>
    <w:rsid w:val="000D5AE3"/>
    <w:rsid w:val="000D6DF4"/>
    <w:rsid w:val="000D6E81"/>
    <w:rsid w:val="000D70D3"/>
    <w:rsid w:val="000D7336"/>
    <w:rsid w:val="000E08F0"/>
    <w:rsid w:val="000E1775"/>
    <w:rsid w:val="000E1B07"/>
    <w:rsid w:val="000E3392"/>
    <w:rsid w:val="000E343C"/>
    <w:rsid w:val="000E3F1B"/>
    <w:rsid w:val="000E53F5"/>
    <w:rsid w:val="000E62CC"/>
    <w:rsid w:val="000E660E"/>
    <w:rsid w:val="000E682C"/>
    <w:rsid w:val="000E6B79"/>
    <w:rsid w:val="000E76DE"/>
    <w:rsid w:val="000F12CA"/>
    <w:rsid w:val="000F277F"/>
    <w:rsid w:val="000F38F2"/>
    <w:rsid w:val="000F3BBF"/>
    <w:rsid w:val="000F3D7B"/>
    <w:rsid w:val="000F40D1"/>
    <w:rsid w:val="000F4BDC"/>
    <w:rsid w:val="000F6402"/>
    <w:rsid w:val="000F6AFE"/>
    <w:rsid w:val="000F7900"/>
    <w:rsid w:val="000F7D1D"/>
    <w:rsid w:val="001002CA"/>
    <w:rsid w:val="00101182"/>
    <w:rsid w:val="001019D5"/>
    <w:rsid w:val="00103C37"/>
    <w:rsid w:val="001051A5"/>
    <w:rsid w:val="0010561E"/>
    <w:rsid w:val="001070CB"/>
    <w:rsid w:val="00107181"/>
    <w:rsid w:val="00107865"/>
    <w:rsid w:val="001117A4"/>
    <w:rsid w:val="00111B84"/>
    <w:rsid w:val="00112052"/>
    <w:rsid w:val="0011247B"/>
    <w:rsid w:val="001128ED"/>
    <w:rsid w:val="00113E56"/>
    <w:rsid w:val="00114862"/>
    <w:rsid w:val="001160AD"/>
    <w:rsid w:val="0012142A"/>
    <w:rsid w:val="00121FD9"/>
    <w:rsid w:val="00122293"/>
    <w:rsid w:val="00122914"/>
    <w:rsid w:val="00122AF3"/>
    <w:rsid w:val="0012390B"/>
    <w:rsid w:val="001263E1"/>
    <w:rsid w:val="00127B72"/>
    <w:rsid w:val="00130DA5"/>
    <w:rsid w:val="00130DC2"/>
    <w:rsid w:val="00132BE4"/>
    <w:rsid w:val="001333AF"/>
    <w:rsid w:val="00134E26"/>
    <w:rsid w:val="0013611F"/>
    <w:rsid w:val="001361FF"/>
    <w:rsid w:val="0013675D"/>
    <w:rsid w:val="00136A91"/>
    <w:rsid w:val="00137159"/>
    <w:rsid w:val="00137245"/>
    <w:rsid w:val="00137B69"/>
    <w:rsid w:val="00140341"/>
    <w:rsid w:val="00141028"/>
    <w:rsid w:val="0014107C"/>
    <w:rsid w:val="0014203B"/>
    <w:rsid w:val="001426AC"/>
    <w:rsid w:val="00142AFD"/>
    <w:rsid w:val="00142CBD"/>
    <w:rsid w:val="00142E79"/>
    <w:rsid w:val="00143A37"/>
    <w:rsid w:val="00145C00"/>
    <w:rsid w:val="00147089"/>
    <w:rsid w:val="0014725C"/>
    <w:rsid w:val="0014764C"/>
    <w:rsid w:val="00150A05"/>
    <w:rsid w:val="0015146D"/>
    <w:rsid w:val="0015171B"/>
    <w:rsid w:val="00151DBC"/>
    <w:rsid w:val="00152659"/>
    <w:rsid w:val="00152791"/>
    <w:rsid w:val="0015369D"/>
    <w:rsid w:val="00153A09"/>
    <w:rsid w:val="0015587A"/>
    <w:rsid w:val="001567A4"/>
    <w:rsid w:val="00156DC3"/>
    <w:rsid w:val="00157126"/>
    <w:rsid w:val="001601AC"/>
    <w:rsid w:val="0016280E"/>
    <w:rsid w:val="00162966"/>
    <w:rsid w:val="00164028"/>
    <w:rsid w:val="00164E27"/>
    <w:rsid w:val="001664A9"/>
    <w:rsid w:val="00166D76"/>
    <w:rsid w:val="001678DB"/>
    <w:rsid w:val="00167C52"/>
    <w:rsid w:val="00171265"/>
    <w:rsid w:val="00172997"/>
    <w:rsid w:val="00174059"/>
    <w:rsid w:val="001741E1"/>
    <w:rsid w:val="00174D58"/>
    <w:rsid w:val="00175966"/>
    <w:rsid w:val="00175B29"/>
    <w:rsid w:val="00176D23"/>
    <w:rsid w:val="00176D9E"/>
    <w:rsid w:val="00177294"/>
    <w:rsid w:val="00177408"/>
    <w:rsid w:val="00177A81"/>
    <w:rsid w:val="00177DC4"/>
    <w:rsid w:val="00180725"/>
    <w:rsid w:val="00180E76"/>
    <w:rsid w:val="00181502"/>
    <w:rsid w:val="001829E1"/>
    <w:rsid w:val="00182D65"/>
    <w:rsid w:val="00182F25"/>
    <w:rsid w:val="00183350"/>
    <w:rsid w:val="00183F14"/>
    <w:rsid w:val="00183F1C"/>
    <w:rsid w:val="00185B5D"/>
    <w:rsid w:val="0018611B"/>
    <w:rsid w:val="001864C5"/>
    <w:rsid w:val="00187652"/>
    <w:rsid w:val="001902B2"/>
    <w:rsid w:val="001923D2"/>
    <w:rsid w:val="00194BBB"/>
    <w:rsid w:val="00195E36"/>
    <w:rsid w:val="00196D8B"/>
    <w:rsid w:val="00197293"/>
    <w:rsid w:val="001A035E"/>
    <w:rsid w:val="001A1C7D"/>
    <w:rsid w:val="001A2A7A"/>
    <w:rsid w:val="001A37D7"/>
    <w:rsid w:val="001A46C7"/>
    <w:rsid w:val="001A506B"/>
    <w:rsid w:val="001A5B78"/>
    <w:rsid w:val="001A5CDB"/>
    <w:rsid w:val="001A6464"/>
    <w:rsid w:val="001A68B1"/>
    <w:rsid w:val="001A6E8A"/>
    <w:rsid w:val="001A794E"/>
    <w:rsid w:val="001B0576"/>
    <w:rsid w:val="001B068D"/>
    <w:rsid w:val="001B09B7"/>
    <w:rsid w:val="001B1D8E"/>
    <w:rsid w:val="001B2266"/>
    <w:rsid w:val="001B330E"/>
    <w:rsid w:val="001B4B7E"/>
    <w:rsid w:val="001B5FAA"/>
    <w:rsid w:val="001B6EBD"/>
    <w:rsid w:val="001B702B"/>
    <w:rsid w:val="001B706A"/>
    <w:rsid w:val="001C1E80"/>
    <w:rsid w:val="001C2551"/>
    <w:rsid w:val="001C2954"/>
    <w:rsid w:val="001C318E"/>
    <w:rsid w:val="001C3209"/>
    <w:rsid w:val="001C5210"/>
    <w:rsid w:val="001C547B"/>
    <w:rsid w:val="001C5C98"/>
    <w:rsid w:val="001C6187"/>
    <w:rsid w:val="001D017A"/>
    <w:rsid w:val="001D14F6"/>
    <w:rsid w:val="001D2664"/>
    <w:rsid w:val="001D3451"/>
    <w:rsid w:val="001D35E7"/>
    <w:rsid w:val="001D4573"/>
    <w:rsid w:val="001D5268"/>
    <w:rsid w:val="001D53EF"/>
    <w:rsid w:val="001D5649"/>
    <w:rsid w:val="001D633C"/>
    <w:rsid w:val="001D686A"/>
    <w:rsid w:val="001D742F"/>
    <w:rsid w:val="001D7A27"/>
    <w:rsid w:val="001E00D4"/>
    <w:rsid w:val="001E062E"/>
    <w:rsid w:val="001E067F"/>
    <w:rsid w:val="001E1EF2"/>
    <w:rsid w:val="001E24AE"/>
    <w:rsid w:val="001E297C"/>
    <w:rsid w:val="001E3342"/>
    <w:rsid w:val="001E3637"/>
    <w:rsid w:val="001E3FFE"/>
    <w:rsid w:val="001E463F"/>
    <w:rsid w:val="001E4733"/>
    <w:rsid w:val="001E75D1"/>
    <w:rsid w:val="001F0241"/>
    <w:rsid w:val="001F0277"/>
    <w:rsid w:val="001F0D64"/>
    <w:rsid w:val="001F0DC8"/>
    <w:rsid w:val="001F19F4"/>
    <w:rsid w:val="001F1A34"/>
    <w:rsid w:val="001F6704"/>
    <w:rsid w:val="001F6ACE"/>
    <w:rsid w:val="001F72C2"/>
    <w:rsid w:val="001F7F7B"/>
    <w:rsid w:val="00200073"/>
    <w:rsid w:val="002005AC"/>
    <w:rsid w:val="002008FE"/>
    <w:rsid w:val="002018B4"/>
    <w:rsid w:val="00201D99"/>
    <w:rsid w:val="002024EC"/>
    <w:rsid w:val="00204B23"/>
    <w:rsid w:val="00204CB2"/>
    <w:rsid w:val="00204E9E"/>
    <w:rsid w:val="0020631B"/>
    <w:rsid w:val="00207B49"/>
    <w:rsid w:val="0021045C"/>
    <w:rsid w:val="00212646"/>
    <w:rsid w:val="0021323C"/>
    <w:rsid w:val="002149E9"/>
    <w:rsid w:val="00214D9E"/>
    <w:rsid w:val="00215E7E"/>
    <w:rsid w:val="00216024"/>
    <w:rsid w:val="00220354"/>
    <w:rsid w:val="0022124D"/>
    <w:rsid w:val="0022251E"/>
    <w:rsid w:val="0022261D"/>
    <w:rsid w:val="00222C21"/>
    <w:rsid w:val="002234C0"/>
    <w:rsid w:val="002262FD"/>
    <w:rsid w:val="002264D2"/>
    <w:rsid w:val="00226C3B"/>
    <w:rsid w:val="002278E7"/>
    <w:rsid w:val="00227A84"/>
    <w:rsid w:val="0023030F"/>
    <w:rsid w:val="00230B8B"/>
    <w:rsid w:val="00231A58"/>
    <w:rsid w:val="00233D1B"/>
    <w:rsid w:val="002344BD"/>
    <w:rsid w:val="002346D6"/>
    <w:rsid w:val="00234C80"/>
    <w:rsid w:val="0023539B"/>
    <w:rsid w:val="00235672"/>
    <w:rsid w:val="00235897"/>
    <w:rsid w:val="00235B5D"/>
    <w:rsid w:val="00235FB4"/>
    <w:rsid w:val="0023685D"/>
    <w:rsid w:val="00236C59"/>
    <w:rsid w:val="002375EB"/>
    <w:rsid w:val="002401C5"/>
    <w:rsid w:val="00240A72"/>
    <w:rsid w:val="00240DE2"/>
    <w:rsid w:val="00241C18"/>
    <w:rsid w:val="00242522"/>
    <w:rsid w:val="00242759"/>
    <w:rsid w:val="00243B83"/>
    <w:rsid w:val="00244CAF"/>
    <w:rsid w:val="00244E94"/>
    <w:rsid w:val="0024512C"/>
    <w:rsid w:val="002468CC"/>
    <w:rsid w:val="00246993"/>
    <w:rsid w:val="00246B43"/>
    <w:rsid w:val="00246CBF"/>
    <w:rsid w:val="002501BB"/>
    <w:rsid w:val="002504CF"/>
    <w:rsid w:val="00250B6C"/>
    <w:rsid w:val="002511B7"/>
    <w:rsid w:val="002528DF"/>
    <w:rsid w:val="00253463"/>
    <w:rsid w:val="00255860"/>
    <w:rsid w:val="00256279"/>
    <w:rsid w:val="00256553"/>
    <w:rsid w:val="00257574"/>
    <w:rsid w:val="00257A82"/>
    <w:rsid w:val="00257B2F"/>
    <w:rsid w:val="00257FF6"/>
    <w:rsid w:val="002603BA"/>
    <w:rsid w:val="00260CA4"/>
    <w:rsid w:val="00261431"/>
    <w:rsid w:val="00261682"/>
    <w:rsid w:val="00262913"/>
    <w:rsid w:val="002631BD"/>
    <w:rsid w:val="00264B76"/>
    <w:rsid w:val="0026552C"/>
    <w:rsid w:val="002662E4"/>
    <w:rsid w:val="0026673A"/>
    <w:rsid w:val="0027080E"/>
    <w:rsid w:val="0027463F"/>
    <w:rsid w:val="00274F39"/>
    <w:rsid w:val="002764D2"/>
    <w:rsid w:val="002770E4"/>
    <w:rsid w:val="002779C7"/>
    <w:rsid w:val="00277B51"/>
    <w:rsid w:val="00281232"/>
    <w:rsid w:val="00285BD6"/>
    <w:rsid w:val="0028698B"/>
    <w:rsid w:val="00286A3A"/>
    <w:rsid w:val="002871DB"/>
    <w:rsid w:val="00287346"/>
    <w:rsid w:val="00287BBB"/>
    <w:rsid w:val="00290A01"/>
    <w:rsid w:val="00291203"/>
    <w:rsid w:val="002918B8"/>
    <w:rsid w:val="002919BF"/>
    <w:rsid w:val="0029284C"/>
    <w:rsid w:val="002934BB"/>
    <w:rsid w:val="00293C82"/>
    <w:rsid w:val="002941E5"/>
    <w:rsid w:val="00294D03"/>
    <w:rsid w:val="00295DD4"/>
    <w:rsid w:val="00296018"/>
    <w:rsid w:val="002A1635"/>
    <w:rsid w:val="002A26D9"/>
    <w:rsid w:val="002A40A3"/>
    <w:rsid w:val="002A4D6A"/>
    <w:rsid w:val="002A519E"/>
    <w:rsid w:val="002A57CC"/>
    <w:rsid w:val="002A6580"/>
    <w:rsid w:val="002A69CB"/>
    <w:rsid w:val="002B0F1D"/>
    <w:rsid w:val="002B0F81"/>
    <w:rsid w:val="002B18EF"/>
    <w:rsid w:val="002B3378"/>
    <w:rsid w:val="002B5A78"/>
    <w:rsid w:val="002B74FC"/>
    <w:rsid w:val="002B758B"/>
    <w:rsid w:val="002B7C6E"/>
    <w:rsid w:val="002C09E5"/>
    <w:rsid w:val="002C1D05"/>
    <w:rsid w:val="002C1E89"/>
    <w:rsid w:val="002C207D"/>
    <w:rsid w:val="002C2C78"/>
    <w:rsid w:val="002C37F3"/>
    <w:rsid w:val="002C42F9"/>
    <w:rsid w:val="002C5278"/>
    <w:rsid w:val="002C5922"/>
    <w:rsid w:val="002C6757"/>
    <w:rsid w:val="002C7841"/>
    <w:rsid w:val="002C7DF5"/>
    <w:rsid w:val="002D09A5"/>
    <w:rsid w:val="002D0B47"/>
    <w:rsid w:val="002D2067"/>
    <w:rsid w:val="002D233D"/>
    <w:rsid w:val="002D3181"/>
    <w:rsid w:val="002D3D83"/>
    <w:rsid w:val="002D42CA"/>
    <w:rsid w:val="002D4732"/>
    <w:rsid w:val="002D4F1E"/>
    <w:rsid w:val="002D57D1"/>
    <w:rsid w:val="002D62FA"/>
    <w:rsid w:val="002D7D34"/>
    <w:rsid w:val="002E103E"/>
    <w:rsid w:val="002E18CA"/>
    <w:rsid w:val="002E204D"/>
    <w:rsid w:val="002E2626"/>
    <w:rsid w:val="002E471C"/>
    <w:rsid w:val="002E5BDC"/>
    <w:rsid w:val="002E5D36"/>
    <w:rsid w:val="002E5DB7"/>
    <w:rsid w:val="002E6391"/>
    <w:rsid w:val="002F0E6C"/>
    <w:rsid w:val="002F152B"/>
    <w:rsid w:val="002F1892"/>
    <w:rsid w:val="002F3C61"/>
    <w:rsid w:val="002F74C8"/>
    <w:rsid w:val="002F76B7"/>
    <w:rsid w:val="002F7CA6"/>
    <w:rsid w:val="00300334"/>
    <w:rsid w:val="003007A1"/>
    <w:rsid w:val="003019CA"/>
    <w:rsid w:val="0030493E"/>
    <w:rsid w:val="00306133"/>
    <w:rsid w:val="00310811"/>
    <w:rsid w:val="003130D1"/>
    <w:rsid w:val="00314679"/>
    <w:rsid w:val="003149F2"/>
    <w:rsid w:val="00316280"/>
    <w:rsid w:val="0031649C"/>
    <w:rsid w:val="00316640"/>
    <w:rsid w:val="00316712"/>
    <w:rsid w:val="00321151"/>
    <w:rsid w:val="00321AF4"/>
    <w:rsid w:val="00321E80"/>
    <w:rsid w:val="00322620"/>
    <w:rsid w:val="00323F55"/>
    <w:rsid w:val="003255F4"/>
    <w:rsid w:val="0032579C"/>
    <w:rsid w:val="0032647C"/>
    <w:rsid w:val="00326EE3"/>
    <w:rsid w:val="00327ABB"/>
    <w:rsid w:val="003304A7"/>
    <w:rsid w:val="00331A5F"/>
    <w:rsid w:val="00331C4A"/>
    <w:rsid w:val="0033237B"/>
    <w:rsid w:val="0033284E"/>
    <w:rsid w:val="00332B0D"/>
    <w:rsid w:val="00333B91"/>
    <w:rsid w:val="00335904"/>
    <w:rsid w:val="003367E7"/>
    <w:rsid w:val="00341369"/>
    <w:rsid w:val="0034143E"/>
    <w:rsid w:val="00342538"/>
    <w:rsid w:val="00344484"/>
    <w:rsid w:val="003453CD"/>
    <w:rsid w:val="003456F6"/>
    <w:rsid w:val="00346D38"/>
    <w:rsid w:val="00347229"/>
    <w:rsid w:val="0034741A"/>
    <w:rsid w:val="00347A92"/>
    <w:rsid w:val="00350142"/>
    <w:rsid w:val="003502C8"/>
    <w:rsid w:val="0035033C"/>
    <w:rsid w:val="00350622"/>
    <w:rsid w:val="00350910"/>
    <w:rsid w:val="00350CC6"/>
    <w:rsid w:val="00352BBB"/>
    <w:rsid w:val="00352BD8"/>
    <w:rsid w:val="003536C8"/>
    <w:rsid w:val="00354EB0"/>
    <w:rsid w:val="00360371"/>
    <w:rsid w:val="003612A5"/>
    <w:rsid w:val="003617C2"/>
    <w:rsid w:val="0036231C"/>
    <w:rsid w:val="00362387"/>
    <w:rsid w:val="003624DD"/>
    <w:rsid w:val="00362F28"/>
    <w:rsid w:val="0036350B"/>
    <w:rsid w:val="00365A40"/>
    <w:rsid w:val="00367D91"/>
    <w:rsid w:val="00371F38"/>
    <w:rsid w:val="00372AD6"/>
    <w:rsid w:val="00373AD9"/>
    <w:rsid w:val="00374D8E"/>
    <w:rsid w:val="00375111"/>
    <w:rsid w:val="00376309"/>
    <w:rsid w:val="00376966"/>
    <w:rsid w:val="00376B4C"/>
    <w:rsid w:val="00376BBD"/>
    <w:rsid w:val="00376E20"/>
    <w:rsid w:val="0038041A"/>
    <w:rsid w:val="00380ABE"/>
    <w:rsid w:val="00381649"/>
    <w:rsid w:val="00381724"/>
    <w:rsid w:val="00383C8C"/>
    <w:rsid w:val="00384692"/>
    <w:rsid w:val="00385D1B"/>
    <w:rsid w:val="00386EF6"/>
    <w:rsid w:val="003871B2"/>
    <w:rsid w:val="0038792B"/>
    <w:rsid w:val="00387ADF"/>
    <w:rsid w:val="003903F8"/>
    <w:rsid w:val="00390B3C"/>
    <w:rsid w:val="00393EC6"/>
    <w:rsid w:val="00394DDB"/>
    <w:rsid w:val="00394FAA"/>
    <w:rsid w:val="00395A3A"/>
    <w:rsid w:val="00395DA2"/>
    <w:rsid w:val="00396B58"/>
    <w:rsid w:val="003A1D10"/>
    <w:rsid w:val="003A2001"/>
    <w:rsid w:val="003A258C"/>
    <w:rsid w:val="003A4DCE"/>
    <w:rsid w:val="003A4E85"/>
    <w:rsid w:val="003A5776"/>
    <w:rsid w:val="003A58F9"/>
    <w:rsid w:val="003A5BEB"/>
    <w:rsid w:val="003A747C"/>
    <w:rsid w:val="003A76F5"/>
    <w:rsid w:val="003A7F73"/>
    <w:rsid w:val="003B09E3"/>
    <w:rsid w:val="003B11F2"/>
    <w:rsid w:val="003B12D6"/>
    <w:rsid w:val="003B217E"/>
    <w:rsid w:val="003B22EE"/>
    <w:rsid w:val="003B3602"/>
    <w:rsid w:val="003B38D8"/>
    <w:rsid w:val="003B58B6"/>
    <w:rsid w:val="003B5BD0"/>
    <w:rsid w:val="003B5D55"/>
    <w:rsid w:val="003B5F68"/>
    <w:rsid w:val="003B6A85"/>
    <w:rsid w:val="003B780F"/>
    <w:rsid w:val="003C0534"/>
    <w:rsid w:val="003C066F"/>
    <w:rsid w:val="003C09DE"/>
    <w:rsid w:val="003C0DDC"/>
    <w:rsid w:val="003C19AA"/>
    <w:rsid w:val="003C2364"/>
    <w:rsid w:val="003C240D"/>
    <w:rsid w:val="003C4C2D"/>
    <w:rsid w:val="003C4EF3"/>
    <w:rsid w:val="003C5832"/>
    <w:rsid w:val="003C5995"/>
    <w:rsid w:val="003C5FDB"/>
    <w:rsid w:val="003C7078"/>
    <w:rsid w:val="003C7385"/>
    <w:rsid w:val="003C7FF6"/>
    <w:rsid w:val="003D0269"/>
    <w:rsid w:val="003D050D"/>
    <w:rsid w:val="003D148D"/>
    <w:rsid w:val="003D27F5"/>
    <w:rsid w:val="003D28A9"/>
    <w:rsid w:val="003D2967"/>
    <w:rsid w:val="003D3127"/>
    <w:rsid w:val="003D4FF1"/>
    <w:rsid w:val="003D51EA"/>
    <w:rsid w:val="003D69BE"/>
    <w:rsid w:val="003E131D"/>
    <w:rsid w:val="003E3EF1"/>
    <w:rsid w:val="003E462A"/>
    <w:rsid w:val="003E5011"/>
    <w:rsid w:val="003E5937"/>
    <w:rsid w:val="003E5EF9"/>
    <w:rsid w:val="003E6071"/>
    <w:rsid w:val="003E6C78"/>
    <w:rsid w:val="003F1C3C"/>
    <w:rsid w:val="003F1C50"/>
    <w:rsid w:val="003F2183"/>
    <w:rsid w:val="003F40D2"/>
    <w:rsid w:val="003F4DDB"/>
    <w:rsid w:val="003F4F90"/>
    <w:rsid w:val="003F5728"/>
    <w:rsid w:val="003F5B4B"/>
    <w:rsid w:val="003F628B"/>
    <w:rsid w:val="003F695B"/>
    <w:rsid w:val="003F6F99"/>
    <w:rsid w:val="003F75CA"/>
    <w:rsid w:val="00400353"/>
    <w:rsid w:val="00401226"/>
    <w:rsid w:val="0040299E"/>
    <w:rsid w:val="00402DA6"/>
    <w:rsid w:val="0040311F"/>
    <w:rsid w:val="00403D9A"/>
    <w:rsid w:val="00403F01"/>
    <w:rsid w:val="0040418C"/>
    <w:rsid w:val="004067F1"/>
    <w:rsid w:val="004067FF"/>
    <w:rsid w:val="00406B72"/>
    <w:rsid w:val="00406D56"/>
    <w:rsid w:val="00410B3A"/>
    <w:rsid w:val="00411E33"/>
    <w:rsid w:val="00412A26"/>
    <w:rsid w:val="00412C1E"/>
    <w:rsid w:val="0041329C"/>
    <w:rsid w:val="00413982"/>
    <w:rsid w:val="00414AB2"/>
    <w:rsid w:val="00415831"/>
    <w:rsid w:val="0041592B"/>
    <w:rsid w:val="00415EFC"/>
    <w:rsid w:val="00415F8D"/>
    <w:rsid w:val="0041673A"/>
    <w:rsid w:val="004170E4"/>
    <w:rsid w:val="00417596"/>
    <w:rsid w:val="0042066A"/>
    <w:rsid w:val="00420850"/>
    <w:rsid w:val="0042093F"/>
    <w:rsid w:val="00421786"/>
    <w:rsid w:val="00421D32"/>
    <w:rsid w:val="00424643"/>
    <w:rsid w:val="004263EE"/>
    <w:rsid w:val="00426530"/>
    <w:rsid w:val="004268A3"/>
    <w:rsid w:val="00426B0D"/>
    <w:rsid w:val="004270CC"/>
    <w:rsid w:val="0042721E"/>
    <w:rsid w:val="004272FC"/>
    <w:rsid w:val="00427B39"/>
    <w:rsid w:val="0043051E"/>
    <w:rsid w:val="00430808"/>
    <w:rsid w:val="004308DF"/>
    <w:rsid w:val="00431995"/>
    <w:rsid w:val="0043227F"/>
    <w:rsid w:val="004325BA"/>
    <w:rsid w:val="00433350"/>
    <w:rsid w:val="004340D1"/>
    <w:rsid w:val="00435AF3"/>
    <w:rsid w:val="00435D2E"/>
    <w:rsid w:val="00436AF2"/>
    <w:rsid w:val="004371B9"/>
    <w:rsid w:val="00437C92"/>
    <w:rsid w:val="00437CA5"/>
    <w:rsid w:val="004404FE"/>
    <w:rsid w:val="00440704"/>
    <w:rsid w:val="00441A9C"/>
    <w:rsid w:val="0044227D"/>
    <w:rsid w:val="00443440"/>
    <w:rsid w:val="00443D5C"/>
    <w:rsid w:val="00446075"/>
    <w:rsid w:val="00447314"/>
    <w:rsid w:val="00447F9E"/>
    <w:rsid w:val="00450417"/>
    <w:rsid w:val="00450A5E"/>
    <w:rsid w:val="004515A7"/>
    <w:rsid w:val="00452E06"/>
    <w:rsid w:val="00453937"/>
    <w:rsid w:val="004548FA"/>
    <w:rsid w:val="00455504"/>
    <w:rsid w:val="0045560E"/>
    <w:rsid w:val="00455700"/>
    <w:rsid w:val="00455D41"/>
    <w:rsid w:val="004565EF"/>
    <w:rsid w:val="00457167"/>
    <w:rsid w:val="004579D4"/>
    <w:rsid w:val="00457F4D"/>
    <w:rsid w:val="00461106"/>
    <w:rsid w:val="004613F9"/>
    <w:rsid w:val="00461ADE"/>
    <w:rsid w:val="004624C3"/>
    <w:rsid w:val="004625D3"/>
    <w:rsid w:val="00464D07"/>
    <w:rsid w:val="00467315"/>
    <w:rsid w:val="00467344"/>
    <w:rsid w:val="00467353"/>
    <w:rsid w:val="0047047F"/>
    <w:rsid w:val="004712DC"/>
    <w:rsid w:val="00471474"/>
    <w:rsid w:val="0047156A"/>
    <w:rsid w:val="00472140"/>
    <w:rsid w:val="00473CD7"/>
    <w:rsid w:val="0047427A"/>
    <w:rsid w:val="00474D15"/>
    <w:rsid w:val="00475035"/>
    <w:rsid w:val="004753D7"/>
    <w:rsid w:val="00475C52"/>
    <w:rsid w:val="00480C04"/>
    <w:rsid w:val="00481BE8"/>
    <w:rsid w:val="00484393"/>
    <w:rsid w:val="004846E3"/>
    <w:rsid w:val="00485791"/>
    <w:rsid w:val="00485919"/>
    <w:rsid w:val="00486409"/>
    <w:rsid w:val="00486538"/>
    <w:rsid w:val="00486731"/>
    <w:rsid w:val="00486FB4"/>
    <w:rsid w:val="004919F5"/>
    <w:rsid w:val="00492205"/>
    <w:rsid w:val="0049263F"/>
    <w:rsid w:val="00492640"/>
    <w:rsid w:val="0049396F"/>
    <w:rsid w:val="004942BF"/>
    <w:rsid w:val="004960BF"/>
    <w:rsid w:val="0049617C"/>
    <w:rsid w:val="0049620F"/>
    <w:rsid w:val="00497E6A"/>
    <w:rsid w:val="004A086E"/>
    <w:rsid w:val="004A1B7B"/>
    <w:rsid w:val="004A27C2"/>
    <w:rsid w:val="004A344F"/>
    <w:rsid w:val="004A421F"/>
    <w:rsid w:val="004A45A3"/>
    <w:rsid w:val="004A4601"/>
    <w:rsid w:val="004A53D6"/>
    <w:rsid w:val="004A59B5"/>
    <w:rsid w:val="004A5F8A"/>
    <w:rsid w:val="004A64AE"/>
    <w:rsid w:val="004A6E66"/>
    <w:rsid w:val="004A769D"/>
    <w:rsid w:val="004B0049"/>
    <w:rsid w:val="004B0C7A"/>
    <w:rsid w:val="004B0D68"/>
    <w:rsid w:val="004B31EA"/>
    <w:rsid w:val="004B3E50"/>
    <w:rsid w:val="004B466E"/>
    <w:rsid w:val="004B4E54"/>
    <w:rsid w:val="004B5746"/>
    <w:rsid w:val="004B791C"/>
    <w:rsid w:val="004C1569"/>
    <w:rsid w:val="004C3480"/>
    <w:rsid w:val="004C3F9D"/>
    <w:rsid w:val="004C5CF3"/>
    <w:rsid w:val="004C7112"/>
    <w:rsid w:val="004C7209"/>
    <w:rsid w:val="004C74A1"/>
    <w:rsid w:val="004C778D"/>
    <w:rsid w:val="004D1025"/>
    <w:rsid w:val="004D1627"/>
    <w:rsid w:val="004D2C13"/>
    <w:rsid w:val="004D2EBD"/>
    <w:rsid w:val="004D59DC"/>
    <w:rsid w:val="004D5E77"/>
    <w:rsid w:val="004D5FF7"/>
    <w:rsid w:val="004D6420"/>
    <w:rsid w:val="004D7AB0"/>
    <w:rsid w:val="004D7B56"/>
    <w:rsid w:val="004E22A5"/>
    <w:rsid w:val="004E248F"/>
    <w:rsid w:val="004E325E"/>
    <w:rsid w:val="004E3836"/>
    <w:rsid w:val="004E4893"/>
    <w:rsid w:val="004E5707"/>
    <w:rsid w:val="004E6424"/>
    <w:rsid w:val="004E6DDE"/>
    <w:rsid w:val="004E74B1"/>
    <w:rsid w:val="004E76FD"/>
    <w:rsid w:val="004F05DD"/>
    <w:rsid w:val="004F0A39"/>
    <w:rsid w:val="004F1F6E"/>
    <w:rsid w:val="004F1FC6"/>
    <w:rsid w:val="004F30A3"/>
    <w:rsid w:val="004F5574"/>
    <w:rsid w:val="004F585C"/>
    <w:rsid w:val="004F5E2D"/>
    <w:rsid w:val="00500680"/>
    <w:rsid w:val="00500F48"/>
    <w:rsid w:val="00501577"/>
    <w:rsid w:val="005025EA"/>
    <w:rsid w:val="005037EA"/>
    <w:rsid w:val="00506003"/>
    <w:rsid w:val="005060B4"/>
    <w:rsid w:val="005070F7"/>
    <w:rsid w:val="00507AF1"/>
    <w:rsid w:val="00510030"/>
    <w:rsid w:val="005107EB"/>
    <w:rsid w:val="00513E09"/>
    <w:rsid w:val="005144AE"/>
    <w:rsid w:val="00514595"/>
    <w:rsid w:val="005149EB"/>
    <w:rsid w:val="00514D63"/>
    <w:rsid w:val="00514E83"/>
    <w:rsid w:val="00515674"/>
    <w:rsid w:val="00515951"/>
    <w:rsid w:val="00515AA3"/>
    <w:rsid w:val="00517FFA"/>
    <w:rsid w:val="00520305"/>
    <w:rsid w:val="00520580"/>
    <w:rsid w:val="0052087D"/>
    <w:rsid w:val="00520CA8"/>
    <w:rsid w:val="00520F77"/>
    <w:rsid w:val="005217CF"/>
    <w:rsid w:val="0052195F"/>
    <w:rsid w:val="00521F2F"/>
    <w:rsid w:val="005225AB"/>
    <w:rsid w:val="005236EC"/>
    <w:rsid w:val="005245A1"/>
    <w:rsid w:val="005246EB"/>
    <w:rsid w:val="00524B95"/>
    <w:rsid w:val="00530B8F"/>
    <w:rsid w:val="00532118"/>
    <w:rsid w:val="00533599"/>
    <w:rsid w:val="00534141"/>
    <w:rsid w:val="005358A6"/>
    <w:rsid w:val="00537FB6"/>
    <w:rsid w:val="005406A1"/>
    <w:rsid w:val="005412DA"/>
    <w:rsid w:val="005429BE"/>
    <w:rsid w:val="0054366D"/>
    <w:rsid w:val="00544AC4"/>
    <w:rsid w:val="005468C0"/>
    <w:rsid w:val="005479F4"/>
    <w:rsid w:val="005508A0"/>
    <w:rsid w:val="0055090B"/>
    <w:rsid w:val="00551909"/>
    <w:rsid w:val="00551969"/>
    <w:rsid w:val="00551CED"/>
    <w:rsid w:val="00552D0F"/>
    <w:rsid w:val="0055408F"/>
    <w:rsid w:val="00554B7A"/>
    <w:rsid w:val="005555DB"/>
    <w:rsid w:val="00556161"/>
    <w:rsid w:val="00560A64"/>
    <w:rsid w:val="00561258"/>
    <w:rsid w:val="00561A00"/>
    <w:rsid w:val="00561F18"/>
    <w:rsid w:val="0056228E"/>
    <w:rsid w:val="005632CB"/>
    <w:rsid w:val="00563416"/>
    <w:rsid w:val="00563F26"/>
    <w:rsid w:val="005643DB"/>
    <w:rsid w:val="00564CBF"/>
    <w:rsid w:val="0056565A"/>
    <w:rsid w:val="00565B85"/>
    <w:rsid w:val="00565C6E"/>
    <w:rsid w:val="00570FD5"/>
    <w:rsid w:val="0057215A"/>
    <w:rsid w:val="00572B7A"/>
    <w:rsid w:val="0057367A"/>
    <w:rsid w:val="00573CFF"/>
    <w:rsid w:val="005743F3"/>
    <w:rsid w:val="005743F8"/>
    <w:rsid w:val="005749F1"/>
    <w:rsid w:val="005756D1"/>
    <w:rsid w:val="00575F2C"/>
    <w:rsid w:val="00577573"/>
    <w:rsid w:val="00577C82"/>
    <w:rsid w:val="00580109"/>
    <w:rsid w:val="00580CD7"/>
    <w:rsid w:val="00581750"/>
    <w:rsid w:val="00581791"/>
    <w:rsid w:val="00582698"/>
    <w:rsid w:val="0058351B"/>
    <w:rsid w:val="005835F2"/>
    <w:rsid w:val="00583CA5"/>
    <w:rsid w:val="005843D3"/>
    <w:rsid w:val="005850DD"/>
    <w:rsid w:val="00585858"/>
    <w:rsid w:val="005873EA"/>
    <w:rsid w:val="00590097"/>
    <w:rsid w:val="00590149"/>
    <w:rsid w:val="0059059D"/>
    <w:rsid w:val="00590C2E"/>
    <w:rsid w:val="00592834"/>
    <w:rsid w:val="00593802"/>
    <w:rsid w:val="005949CA"/>
    <w:rsid w:val="00595887"/>
    <w:rsid w:val="00595D54"/>
    <w:rsid w:val="00596611"/>
    <w:rsid w:val="0059664A"/>
    <w:rsid w:val="005975BF"/>
    <w:rsid w:val="0059793D"/>
    <w:rsid w:val="005A05ED"/>
    <w:rsid w:val="005A19D9"/>
    <w:rsid w:val="005A1B5E"/>
    <w:rsid w:val="005A227D"/>
    <w:rsid w:val="005A27F6"/>
    <w:rsid w:val="005A2B04"/>
    <w:rsid w:val="005A2EEE"/>
    <w:rsid w:val="005A348F"/>
    <w:rsid w:val="005A5ADB"/>
    <w:rsid w:val="005A5C1A"/>
    <w:rsid w:val="005B19E1"/>
    <w:rsid w:val="005B1FB6"/>
    <w:rsid w:val="005B2A81"/>
    <w:rsid w:val="005B3956"/>
    <w:rsid w:val="005B3AF4"/>
    <w:rsid w:val="005B3B4A"/>
    <w:rsid w:val="005B4BFB"/>
    <w:rsid w:val="005B58FF"/>
    <w:rsid w:val="005B6296"/>
    <w:rsid w:val="005B7727"/>
    <w:rsid w:val="005B79B6"/>
    <w:rsid w:val="005C00BF"/>
    <w:rsid w:val="005C0BE2"/>
    <w:rsid w:val="005C0C10"/>
    <w:rsid w:val="005C1393"/>
    <w:rsid w:val="005C1779"/>
    <w:rsid w:val="005C18EC"/>
    <w:rsid w:val="005C2F2D"/>
    <w:rsid w:val="005C33A5"/>
    <w:rsid w:val="005C3FE1"/>
    <w:rsid w:val="005C41E7"/>
    <w:rsid w:val="005C4D21"/>
    <w:rsid w:val="005C5BAA"/>
    <w:rsid w:val="005C665B"/>
    <w:rsid w:val="005C66B5"/>
    <w:rsid w:val="005D0472"/>
    <w:rsid w:val="005D0590"/>
    <w:rsid w:val="005D0A40"/>
    <w:rsid w:val="005D101C"/>
    <w:rsid w:val="005D148F"/>
    <w:rsid w:val="005D1C3B"/>
    <w:rsid w:val="005D21BD"/>
    <w:rsid w:val="005D2E97"/>
    <w:rsid w:val="005D3AC4"/>
    <w:rsid w:val="005D40D9"/>
    <w:rsid w:val="005E0267"/>
    <w:rsid w:val="005E02BE"/>
    <w:rsid w:val="005E073B"/>
    <w:rsid w:val="005E1B12"/>
    <w:rsid w:val="005E1F7E"/>
    <w:rsid w:val="005E333B"/>
    <w:rsid w:val="005E33DF"/>
    <w:rsid w:val="005E4281"/>
    <w:rsid w:val="005E5CFF"/>
    <w:rsid w:val="005E5D24"/>
    <w:rsid w:val="005E5EEE"/>
    <w:rsid w:val="005E6AD0"/>
    <w:rsid w:val="005E6D21"/>
    <w:rsid w:val="005E707B"/>
    <w:rsid w:val="005E7525"/>
    <w:rsid w:val="005E7E8C"/>
    <w:rsid w:val="005F0129"/>
    <w:rsid w:val="005F0AEF"/>
    <w:rsid w:val="005F13F5"/>
    <w:rsid w:val="005F1DBC"/>
    <w:rsid w:val="005F2239"/>
    <w:rsid w:val="005F247B"/>
    <w:rsid w:val="005F4CF3"/>
    <w:rsid w:val="005F603E"/>
    <w:rsid w:val="00600B32"/>
    <w:rsid w:val="00601D7A"/>
    <w:rsid w:val="00603015"/>
    <w:rsid w:val="0060342E"/>
    <w:rsid w:val="00603CB4"/>
    <w:rsid w:val="006044E8"/>
    <w:rsid w:val="00605470"/>
    <w:rsid w:val="00606E43"/>
    <w:rsid w:val="00607023"/>
    <w:rsid w:val="006105B2"/>
    <w:rsid w:val="00612619"/>
    <w:rsid w:val="00614E0D"/>
    <w:rsid w:val="00616254"/>
    <w:rsid w:val="00616D75"/>
    <w:rsid w:val="006174A8"/>
    <w:rsid w:val="00621D93"/>
    <w:rsid w:val="006230BF"/>
    <w:rsid w:val="00623C64"/>
    <w:rsid w:val="00623CE6"/>
    <w:rsid w:val="0062428F"/>
    <w:rsid w:val="00624400"/>
    <w:rsid w:val="0063058C"/>
    <w:rsid w:val="00630656"/>
    <w:rsid w:val="00631F1E"/>
    <w:rsid w:val="006328D8"/>
    <w:rsid w:val="00632AFC"/>
    <w:rsid w:val="006331F8"/>
    <w:rsid w:val="00633867"/>
    <w:rsid w:val="00633EF5"/>
    <w:rsid w:val="00634BD2"/>
    <w:rsid w:val="006353FD"/>
    <w:rsid w:val="00635FE9"/>
    <w:rsid w:val="00636942"/>
    <w:rsid w:val="00636BF3"/>
    <w:rsid w:val="00636C42"/>
    <w:rsid w:val="00637F83"/>
    <w:rsid w:val="00641922"/>
    <w:rsid w:val="00642B37"/>
    <w:rsid w:val="00643AA7"/>
    <w:rsid w:val="00643DBF"/>
    <w:rsid w:val="00646C08"/>
    <w:rsid w:val="00646C0C"/>
    <w:rsid w:val="00650509"/>
    <w:rsid w:val="006524A8"/>
    <w:rsid w:val="006556AA"/>
    <w:rsid w:val="00655DCE"/>
    <w:rsid w:val="00657E91"/>
    <w:rsid w:val="00660A7C"/>
    <w:rsid w:val="00662ED7"/>
    <w:rsid w:val="00664F47"/>
    <w:rsid w:val="00666421"/>
    <w:rsid w:val="00666B17"/>
    <w:rsid w:val="006703DD"/>
    <w:rsid w:val="006713DD"/>
    <w:rsid w:val="00672662"/>
    <w:rsid w:val="00672A21"/>
    <w:rsid w:val="00673241"/>
    <w:rsid w:val="006747A3"/>
    <w:rsid w:val="00674CA1"/>
    <w:rsid w:val="00674D65"/>
    <w:rsid w:val="00675D3C"/>
    <w:rsid w:val="0067766F"/>
    <w:rsid w:val="00680D29"/>
    <w:rsid w:val="006811DA"/>
    <w:rsid w:val="006821C5"/>
    <w:rsid w:val="00683971"/>
    <w:rsid w:val="0068419F"/>
    <w:rsid w:val="006841D2"/>
    <w:rsid w:val="00684B4A"/>
    <w:rsid w:val="00684B75"/>
    <w:rsid w:val="00685DA9"/>
    <w:rsid w:val="006872E5"/>
    <w:rsid w:val="006876C2"/>
    <w:rsid w:val="00690596"/>
    <w:rsid w:val="0069069C"/>
    <w:rsid w:val="00690AD4"/>
    <w:rsid w:val="006923EB"/>
    <w:rsid w:val="00692448"/>
    <w:rsid w:val="00692684"/>
    <w:rsid w:val="00693A46"/>
    <w:rsid w:val="00694D25"/>
    <w:rsid w:val="00695433"/>
    <w:rsid w:val="00697040"/>
    <w:rsid w:val="00697D57"/>
    <w:rsid w:val="006A00E1"/>
    <w:rsid w:val="006A0C0E"/>
    <w:rsid w:val="006A0C8B"/>
    <w:rsid w:val="006A1795"/>
    <w:rsid w:val="006A1CB1"/>
    <w:rsid w:val="006A1CC5"/>
    <w:rsid w:val="006A2AA6"/>
    <w:rsid w:val="006A7E02"/>
    <w:rsid w:val="006B03BB"/>
    <w:rsid w:val="006B08E3"/>
    <w:rsid w:val="006B3301"/>
    <w:rsid w:val="006B406B"/>
    <w:rsid w:val="006B43C9"/>
    <w:rsid w:val="006B4453"/>
    <w:rsid w:val="006B445B"/>
    <w:rsid w:val="006B44E1"/>
    <w:rsid w:val="006B48E7"/>
    <w:rsid w:val="006B49AB"/>
    <w:rsid w:val="006B4E2E"/>
    <w:rsid w:val="006B6738"/>
    <w:rsid w:val="006B6C37"/>
    <w:rsid w:val="006B7119"/>
    <w:rsid w:val="006B7A8F"/>
    <w:rsid w:val="006C0F8A"/>
    <w:rsid w:val="006C1658"/>
    <w:rsid w:val="006C1DF4"/>
    <w:rsid w:val="006C2120"/>
    <w:rsid w:val="006C2C13"/>
    <w:rsid w:val="006C4349"/>
    <w:rsid w:val="006C7492"/>
    <w:rsid w:val="006C796D"/>
    <w:rsid w:val="006D08C8"/>
    <w:rsid w:val="006D147D"/>
    <w:rsid w:val="006D2452"/>
    <w:rsid w:val="006D64F6"/>
    <w:rsid w:val="006D7F60"/>
    <w:rsid w:val="006E0103"/>
    <w:rsid w:val="006E0686"/>
    <w:rsid w:val="006E0F8A"/>
    <w:rsid w:val="006E18D4"/>
    <w:rsid w:val="006E1BD3"/>
    <w:rsid w:val="006E1DAC"/>
    <w:rsid w:val="006E4615"/>
    <w:rsid w:val="006E615E"/>
    <w:rsid w:val="006E6463"/>
    <w:rsid w:val="006E6CBA"/>
    <w:rsid w:val="006E73D0"/>
    <w:rsid w:val="006E7A72"/>
    <w:rsid w:val="006E7B20"/>
    <w:rsid w:val="006F298B"/>
    <w:rsid w:val="006F36B6"/>
    <w:rsid w:val="006F3AAF"/>
    <w:rsid w:val="006F442D"/>
    <w:rsid w:val="006F551D"/>
    <w:rsid w:val="006F57EE"/>
    <w:rsid w:val="006F609A"/>
    <w:rsid w:val="006F6AD8"/>
    <w:rsid w:val="006F7372"/>
    <w:rsid w:val="006F77E5"/>
    <w:rsid w:val="007014DC"/>
    <w:rsid w:val="007023D2"/>
    <w:rsid w:val="00702B65"/>
    <w:rsid w:val="00704439"/>
    <w:rsid w:val="00705E8E"/>
    <w:rsid w:val="00706316"/>
    <w:rsid w:val="007065B4"/>
    <w:rsid w:val="00706B50"/>
    <w:rsid w:val="00707344"/>
    <w:rsid w:val="00707FEA"/>
    <w:rsid w:val="00710039"/>
    <w:rsid w:val="00710893"/>
    <w:rsid w:val="007109DA"/>
    <w:rsid w:val="00711341"/>
    <w:rsid w:val="007115AB"/>
    <w:rsid w:val="00711BB9"/>
    <w:rsid w:val="00713C00"/>
    <w:rsid w:val="0071405A"/>
    <w:rsid w:val="007160EB"/>
    <w:rsid w:val="00717938"/>
    <w:rsid w:val="007203E5"/>
    <w:rsid w:val="007225AB"/>
    <w:rsid w:val="007234C4"/>
    <w:rsid w:val="00724274"/>
    <w:rsid w:val="00724686"/>
    <w:rsid w:val="00724A7A"/>
    <w:rsid w:val="00726C98"/>
    <w:rsid w:val="00726E80"/>
    <w:rsid w:val="00726E93"/>
    <w:rsid w:val="00726FC6"/>
    <w:rsid w:val="0072701B"/>
    <w:rsid w:val="00727593"/>
    <w:rsid w:val="00727AAE"/>
    <w:rsid w:val="007308DD"/>
    <w:rsid w:val="00730ACA"/>
    <w:rsid w:val="007310DA"/>
    <w:rsid w:val="0073178D"/>
    <w:rsid w:val="0073324C"/>
    <w:rsid w:val="00734674"/>
    <w:rsid w:val="00735811"/>
    <w:rsid w:val="00736807"/>
    <w:rsid w:val="00737318"/>
    <w:rsid w:val="00740671"/>
    <w:rsid w:val="00740BD2"/>
    <w:rsid w:val="00743159"/>
    <w:rsid w:val="0074328F"/>
    <w:rsid w:val="0074461E"/>
    <w:rsid w:val="00744CD2"/>
    <w:rsid w:val="00744FC7"/>
    <w:rsid w:val="0074582A"/>
    <w:rsid w:val="007464A2"/>
    <w:rsid w:val="0074687F"/>
    <w:rsid w:val="00746AE9"/>
    <w:rsid w:val="00747F68"/>
    <w:rsid w:val="007504FD"/>
    <w:rsid w:val="007508F0"/>
    <w:rsid w:val="00751062"/>
    <w:rsid w:val="007519EC"/>
    <w:rsid w:val="00752238"/>
    <w:rsid w:val="007524D5"/>
    <w:rsid w:val="00752D36"/>
    <w:rsid w:val="007530B9"/>
    <w:rsid w:val="0075333A"/>
    <w:rsid w:val="00753E82"/>
    <w:rsid w:val="0075480F"/>
    <w:rsid w:val="007559F1"/>
    <w:rsid w:val="00755E12"/>
    <w:rsid w:val="0075681E"/>
    <w:rsid w:val="007610AF"/>
    <w:rsid w:val="0076198B"/>
    <w:rsid w:val="00762690"/>
    <w:rsid w:val="00763EF3"/>
    <w:rsid w:val="007650D2"/>
    <w:rsid w:val="00765568"/>
    <w:rsid w:val="00765FCB"/>
    <w:rsid w:val="007666DF"/>
    <w:rsid w:val="007671C4"/>
    <w:rsid w:val="00767C2A"/>
    <w:rsid w:val="0077025B"/>
    <w:rsid w:val="00771420"/>
    <w:rsid w:val="00772AF9"/>
    <w:rsid w:val="00773B58"/>
    <w:rsid w:val="00773C53"/>
    <w:rsid w:val="00774BA2"/>
    <w:rsid w:val="007761E4"/>
    <w:rsid w:val="00776E25"/>
    <w:rsid w:val="00777BE0"/>
    <w:rsid w:val="00777BF7"/>
    <w:rsid w:val="007828A6"/>
    <w:rsid w:val="00782A12"/>
    <w:rsid w:val="00782C6B"/>
    <w:rsid w:val="00782DE4"/>
    <w:rsid w:val="00783E90"/>
    <w:rsid w:val="0078416D"/>
    <w:rsid w:val="00785032"/>
    <w:rsid w:val="00785A0F"/>
    <w:rsid w:val="00785B65"/>
    <w:rsid w:val="0078704D"/>
    <w:rsid w:val="00787D41"/>
    <w:rsid w:val="007902BA"/>
    <w:rsid w:val="007911F7"/>
    <w:rsid w:val="00791A57"/>
    <w:rsid w:val="007923DD"/>
    <w:rsid w:val="00793342"/>
    <w:rsid w:val="00793400"/>
    <w:rsid w:val="0079471A"/>
    <w:rsid w:val="00794D33"/>
    <w:rsid w:val="00795489"/>
    <w:rsid w:val="007957CE"/>
    <w:rsid w:val="00796055"/>
    <w:rsid w:val="00796862"/>
    <w:rsid w:val="007975C4"/>
    <w:rsid w:val="00797F84"/>
    <w:rsid w:val="007A068A"/>
    <w:rsid w:val="007A1596"/>
    <w:rsid w:val="007A2EAA"/>
    <w:rsid w:val="007A59F8"/>
    <w:rsid w:val="007A63E4"/>
    <w:rsid w:val="007A6A18"/>
    <w:rsid w:val="007A7C66"/>
    <w:rsid w:val="007A7EB3"/>
    <w:rsid w:val="007B09BF"/>
    <w:rsid w:val="007B0A41"/>
    <w:rsid w:val="007B2F7F"/>
    <w:rsid w:val="007B3515"/>
    <w:rsid w:val="007B360F"/>
    <w:rsid w:val="007B3996"/>
    <w:rsid w:val="007B4A92"/>
    <w:rsid w:val="007B5764"/>
    <w:rsid w:val="007B63E9"/>
    <w:rsid w:val="007C0033"/>
    <w:rsid w:val="007C0437"/>
    <w:rsid w:val="007C1AA3"/>
    <w:rsid w:val="007C46BE"/>
    <w:rsid w:val="007C5B20"/>
    <w:rsid w:val="007C6158"/>
    <w:rsid w:val="007C6C5E"/>
    <w:rsid w:val="007C6CC7"/>
    <w:rsid w:val="007C7131"/>
    <w:rsid w:val="007C750B"/>
    <w:rsid w:val="007D16B7"/>
    <w:rsid w:val="007D18AD"/>
    <w:rsid w:val="007D1A33"/>
    <w:rsid w:val="007D1B21"/>
    <w:rsid w:val="007D1C29"/>
    <w:rsid w:val="007D2236"/>
    <w:rsid w:val="007D2BCC"/>
    <w:rsid w:val="007D3C01"/>
    <w:rsid w:val="007D40C7"/>
    <w:rsid w:val="007D4426"/>
    <w:rsid w:val="007D7578"/>
    <w:rsid w:val="007E0DC4"/>
    <w:rsid w:val="007E1027"/>
    <w:rsid w:val="007E14E7"/>
    <w:rsid w:val="007E1960"/>
    <w:rsid w:val="007E2592"/>
    <w:rsid w:val="007E326B"/>
    <w:rsid w:val="007E36AE"/>
    <w:rsid w:val="007E536C"/>
    <w:rsid w:val="007E737F"/>
    <w:rsid w:val="007F0274"/>
    <w:rsid w:val="007F166A"/>
    <w:rsid w:val="007F403F"/>
    <w:rsid w:val="007F54A6"/>
    <w:rsid w:val="007F65C6"/>
    <w:rsid w:val="007F7F9D"/>
    <w:rsid w:val="00800358"/>
    <w:rsid w:val="008004BE"/>
    <w:rsid w:val="00802170"/>
    <w:rsid w:val="008038C3"/>
    <w:rsid w:val="008050FE"/>
    <w:rsid w:val="00805F5D"/>
    <w:rsid w:val="008067EF"/>
    <w:rsid w:val="00806EEF"/>
    <w:rsid w:val="00807007"/>
    <w:rsid w:val="00807B8E"/>
    <w:rsid w:val="00807FEF"/>
    <w:rsid w:val="00810A79"/>
    <w:rsid w:val="00810D00"/>
    <w:rsid w:val="0081114F"/>
    <w:rsid w:val="008114C0"/>
    <w:rsid w:val="00811FD3"/>
    <w:rsid w:val="008136AD"/>
    <w:rsid w:val="00813939"/>
    <w:rsid w:val="00813BAA"/>
    <w:rsid w:val="008140B3"/>
    <w:rsid w:val="008144F2"/>
    <w:rsid w:val="00814B19"/>
    <w:rsid w:val="00814B49"/>
    <w:rsid w:val="00816A75"/>
    <w:rsid w:val="0081710F"/>
    <w:rsid w:val="008205D3"/>
    <w:rsid w:val="00820F35"/>
    <w:rsid w:val="00821BD8"/>
    <w:rsid w:val="00821C9B"/>
    <w:rsid w:val="0082287E"/>
    <w:rsid w:val="00824085"/>
    <w:rsid w:val="0082471A"/>
    <w:rsid w:val="00825133"/>
    <w:rsid w:val="00826FF9"/>
    <w:rsid w:val="008302C0"/>
    <w:rsid w:val="008307FE"/>
    <w:rsid w:val="00830B07"/>
    <w:rsid w:val="00830B71"/>
    <w:rsid w:val="00830DB9"/>
    <w:rsid w:val="00834B6C"/>
    <w:rsid w:val="008401EB"/>
    <w:rsid w:val="00840E48"/>
    <w:rsid w:val="0084102B"/>
    <w:rsid w:val="00841D24"/>
    <w:rsid w:val="0084315F"/>
    <w:rsid w:val="008433CD"/>
    <w:rsid w:val="00844182"/>
    <w:rsid w:val="008458F9"/>
    <w:rsid w:val="00845B3E"/>
    <w:rsid w:val="00845B73"/>
    <w:rsid w:val="0084678A"/>
    <w:rsid w:val="00850E1C"/>
    <w:rsid w:val="00851335"/>
    <w:rsid w:val="00851F01"/>
    <w:rsid w:val="0085287C"/>
    <w:rsid w:val="0085298D"/>
    <w:rsid w:val="00852D8A"/>
    <w:rsid w:val="00854050"/>
    <w:rsid w:val="00854BE4"/>
    <w:rsid w:val="00855140"/>
    <w:rsid w:val="00855141"/>
    <w:rsid w:val="00855590"/>
    <w:rsid w:val="00856254"/>
    <w:rsid w:val="008570DB"/>
    <w:rsid w:val="00862234"/>
    <w:rsid w:val="008624A5"/>
    <w:rsid w:val="00862C93"/>
    <w:rsid w:val="00863159"/>
    <w:rsid w:val="00864A61"/>
    <w:rsid w:val="00864BEA"/>
    <w:rsid w:val="00865C61"/>
    <w:rsid w:val="00866671"/>
    <w:rsid w:val="008704A3"/>
    <w:rsid w:val="00870508"/>
    <w:rsid w:val="00870759"/>
    <w:rsid w:val="00870AA2"/>
    <w:rsid w:val="008714FC"/>
    <w:rsid w:val="00871D6C"/>
    <w:rsid w:val="00871F35"/>
    <w:rsid w:val="00874012"/>
    <w:rsid w:val="00874271"/>
    <w:rsid w:val="0087448A"/>
    <w:rsid w:val="00874B12"/>
    <w:rsid w:val="008756A9"/>
    <w:rsid w:val="00875B83"/>
    <w:rsid w:val="00876071"/>
    <w:rsid w:val="00880962"/>
    <w:rsid w:val="00881A52"/>
    <w:rsid w:val="00881AB1"/>
    <w:rsid w:val="00881ECF"/>
    <w:rsid w:val="00882A99"/>
    <w:rsid w:val="00882BAC"/>
    <w:rsid w:val="00885004"/>
    <w:rsid w:val="00885F64"/>
    <w:rsid w:val="008867BC"/>
    <w:rsid w:val="008879B3"/>
    <w:rsid w:val="00890184"/>
    <w:rsid w:val="00890729"/>
    <w:rsid w:val="0089094D"/>
    <w:rsid w:val="008924C6"/>
    <w:rsid w:val="008927E6"/>
    <w:rsid w:val="0089319E"/>
    <w:rsid w:val="00893594"/>
    <w:rsid w:val="00893846"/>
    <w:rsid w:val="008944FA"/>
    <w:rsid w:val="00894ADF"/>
    <w:rsid w:val="00895EE1"/>
    <w:rsid w:val="008973F7"/>
    <w:rsid w:val="00897DAB"/>
    <w:rsid w:val="00897EC2"/>
    <w:rsid w:val="008A02FD"/>
    <w:rsid w:val="008A04C1"/>
    <w:rsid w:val="008A1C38"/>
    <w:rsid w:val="008A20B5"/>
    <w:rsid w:val="008A215E"/>
    <w:rsid w:val="008A2352"/>
    <w:rsid w:val="008A238F"/>
    <w:rsid w:val="008A2639"/>
    <w:rsid w:val="008A27C4"/>
    <w:rsid w:val="008A2909"/>
    <w:rsid w:val="008A290D"/>
    <w:rsid w:val="008A4C9A"/>
    <w:rsid w:val="008A4DAA"/>
    <w:rsid w:val="008A61B1"/>
    <w:rsid w:val="008B1E10"/>
    <w:rsid w:val="008B235A"/>
    <w:rsid w:val="008B2C79"/>
    <w:rsid w:val="008B3211"/>
    <w:rsid w:val="008B3CD2"/>
    <w:rsid w:val="008B78BA"/>
    <w:rsid w:val="008C009B"/>
    <w:rsid w:val="008C066B"/>
    <w:rsid w:val="008C0EEE"/>
    <w:rsid w:val="008C22FB"/>
    <w:rsid w:val="008C28A5"/>
    <w:rsid w:val="008C2A6F"/>
    <w:rsid w:val="008C2BB9"/>
    <w:rsid w:val="008C4021"/>
    <w:rsid w:val="008C455B"/>
    <w:rsid w:val="008C466B"/>
    <w:rsid w:val="008C4B9E"/>
    <w:rsid w:val="008D0338"/>
    <w:rsid w:val="008D2C72"/>
    <w:rsid w:val="008D44FC"/>
    <w:rsid w:val="008D4D90"/>
    <w:rsid w:val="008D68FF"/>
    <w:rsid w:val="008D6B46"/>
    <w:rsid w:val="008D6DC9"/>
    <w:rsid w:val="008E015D"/>
    <w:rsid w:val="008E08FB"/>
    <w:rsid w:val="008E09A5"/>
    <w:rsid w:val="008E1A8B"/>
    <w:rsid w:val="008E1D6E"/>
    <w:rsid w:val="008E1DF6"/>
    <w:rsid w:val="008E28EF"/>
    <w:rsid w:val="008E3617"/>
    <w:rsid w:val="008E5D2B"/>
    <w:rsid w:val="008E7E87"/>
    <w:rsid w:val="008F0330"/>
    <w:rsid w:val="008F08B5"/>
    <w:rsid w:val="008F13EC"/>
    <w:rsid w:val="008F14F0"/>
    <w:rsid w:val="008F42B9"/>
    <w:rsid w:val="008F4493"/>
    <w:rsid w:val="008F4744"/>
    <w:rsid w:val="008F4AD0"/>
    <w:rsid w:val="008F4FF8"/>
    <w:rsid w:val="008F6ACE"/>
    <w:rsid w:val="00900503"/>
    <w:rsid w:val="00900886"/>
    <w:rsid w:val="00903294"/>
    <w:rsid w:val="00903C96"/>
    <w:rsid w:val="00903FDD"/>
    <w:rsid w:val="00904015"/>
    <w:rsid w:val="0090494A"/>
    <w:rsid w:val="009061E6"/>
    <w:rsid w:val="00906FDC"/>
    <w:rsid w:val="00907638"/>
    <w:rsid w:val="00910BF8"/>
    <w:rsid w:val="00910CD3"/>
    <w:rsid w:val="00912753"/>
    <w:rsid w:val="00912EFD"/>
    <w:rsid w:val="00915FC5"/>
    <w:rsid w:val="009178E3"/>
    <w:rsid w:val="00920506"/>
    <w:rsid w:val="00921118"/>
    <w:rsid w:val="00921A22"/>
    <w:rsid w:val="009229BC"/>
    <w:rsid w:val="00923EE1"/>
    <w:rsid w:val="0092563D"/>
    <w:rsid w:val="009278D8"/>
    <w:rsid w:val="0093033F"/>
    <w:rsid w:val="00930714"/>
    <w:rsid w:val="00931BB5"/>
    <w:rsid w:val="00932CD2"/>
    <w:rsid w:val="00932D37"/>
    <w:rsid w:val="009330D5"/>
    <w:rsid w:val="0093370B"/>
    <w:rsid w:val="00933E50"/>
    <w:rsid w:val="00933EBA"/>
    <w:rsid w:val="00933F2A"/>
    <w:rsid w:val="0093467E"/>
    <w:rsid w:val="00934F1F"/>
    <w:rsid w:val="009358B2"/>
    <w:rsid w:val="00937D41"/>
    <w:rsid w:val="00940125"/>
    <w:rsid w:val="0094088D"/>
    <w:rsid w:val="00940A72"/>
    <w:rsid w:val="00940D64"/>
    <w:rsid w:val="0094150E"/>
    <w:rsid w:val="00942351"/>
    <w:rsid w:val="00942B15"/>
    <w:rsid w:val="009435B5"/>
    <w:rsid w:val="00943D1E"/>
    <w:rsid w:val="009463FC"/>
    <w:rsid w:val="00946876"/>
    <w:rsid w:val="0094691C"/>
    <w:rsid w:val="00950234"/>
    <w:rsid w:val="009507DC"/>
    <w:rsid w:val="009509F7"/>
    <w:rsid w:val="009510FE"/>
    <w:rsid w:val="00951B7C"/>
    <w:rsid w:val="00952D6F"/>
    <w:rsid w:val="009538DF"/>
    <w:rsid w:val="00953A75"/>
    <w:rsid w:val="00953C3A"/>
    <w:rsid w:val="009546AC"/>
    <w:rsid w:val="00955D12"/>
    <w:rsid w:val="00956407"/>
    <w:rsid w:val="00956566"/>
    <w:rsid w:val="0095681D"/>
    <w:rsid w:val="00956A0A"/>
    <w:rsid w:val="00957CD0"/>
    <w:rsid w:val="00957F1B"/>
    <w:rsid w:val="00960706"/>
    <w:rsid w:val="00962524"/>
    <w:rsid w:val="0096344F"/>
    <w:rsid w:val="00964C1D"/>
    <w:rsid w:val="00964EE9"/>
    <w:rsid w:val="00964FAE"/>
    <w:rsid w:val="00965347"/>
    <w:rsid w:val="00966511"/>
    <w:rsid w:val="009667BA"/>
    <w:rsid w:val="00970E12"/>
    <w:rsid w:val="009713B8"/>
    <w:rsid w:val="009714B9"/>
    <w:rsid w:val="0097256E"/>
    <w:rsid w:val="009729F4"/>
    <w:rsid w:val="00973996"/>
    <w:rsid w:val="00974D8C"/>
    <w:rsid w:val="00974E16"/>
    <w:rsid w:val="0097529C"/>
    <w:rsid w:val="009779BF"/>
    <w:rsid w:val="009812A4"/>
    <w:rsid w:val="00984173"/>
    <w:rsid w:val="0098417C"/>
    <w:rsid w:val="0098526F"/>
    <w:rsid w:val="009852D2"/>
    <w:rsid w:val="00985AFE"/>
    <w:rsid w:val="00987296"/>
    <w:rsid w:val="009901C7"/>
    <w:rsid w:val="009909C1"/>
    <w:rsid w:val="00990AE8"/>
    <w:rsid w:val="00991104"/>
    <w:rsid w:val="009924BF"/>
    <w:rsid w:val="00992EE9"/>
    <w:rsid w:val="009946D9"/>
    <w:rsid w:val="00994EB6"/>
    <w:rsid w:val="00995526"/>
    <w:rsid w:val="00995E60"/>
    <w:rsid w:val="0099694A"/>
    <w:rsid w:val="00997C7D"/>
    <w:rsid w:val="009A09C5"/>
    <w:rsid w:val="009A10A7"/>
    <w:rsid w:val="009A127F"/>
    <w:rsid w:val="009A2831"/>
    <w:rsid w:val="009A3B89"/>
    <w:rsid w:val="009A42F7"/>
    <w:rsid w:val="009A4779"/>
    <w:rsid w:val="009A4A6F"/>
    <w:rsid w:val="009A586C"/>
    <w:rsid w:val="009A6215"/>
    <w:rsid w:val="009A6EE5"/>
    <w:rsid w:val="009A7DA1"/>
    <w:rsid w:val="009A7E91"/>
    <w:rsid w:val="009B0A25"/>
    <w:rsid w:val="009B137E"/>
    <w:rsid w:val="009B19C6"/>
    <w:rsid w:val="009B2DB7"/>
    <w:rsid w:val="009B30B9"/>
    <w:rsid w:val="009B3261"/>
    <w:rsid w:val="009B32AD"/>
    <w:rsid w:val="009B3CA2"/>
    <w:rsid w:val="009B415F"/>
    <w:rsid w:val="009B4648"/>
    <w:rsid w:val="009B56EB"/>
    <w:rsid w:val="009B597B"/>
    <w:rsid w:val="009B5E7C"/>
    <w:rsid w:val="009B6858"/>
    <w:rsid w:val="009B7405"/>
    <w:rsid w:val="009C1571"/>
    <w:rsid w:val="009C1C7A"/>
    <w:rsid w:val="009C2178"/>
    <w:rsid w:val="009C2497"/>
    <w:rsid w:val="009C5575"/>
    <w:rsid w:val="009C6928"/>
    <w:rsid w:val="009C6BFE"/>
    <w:rsid w:val="009C6D6B"/>
    <w:rsid w:val="009D015D"/>
    <w:rsid w:val="009D084E"/>
    <w:rsid w:val="009D0CC4"/>
    <w:rsid w:val="009D0E29"/>
    <w:rsid w:val="009D1802"/>
    <w:rsid w:val="009D1949"/>
    <w:rsid w:val="009D1B3C"/>
    <w:rsid w:val="009D25CF"/>
    <w:rsid w:val="009D49B5"/>
    <w:rsid w:val="009D4C9F"/>
    <w:rsid w:val="009D5274"/>
    <w:rsid w:val="009D5CF0"/>
    <w:rsid w:val="009D5D3C"/>
    <w:rsid w:val="009E0ADC"/>
    <w:rsid w:val="009E16B3"/>
    <w:rsid w:val="009E1926"/>
    <w:rsid w:val="009E1C04"/>
    <w:rsid w:val="009E1CFC"/>
    <w:rsid w:val="009E1D01"/>
    <w:rsid w:val="009E1F80"/>
    <w:rsid w:val="009E30D2"/>
    <w:rsid w:val="009E35D2"/>
    <w:rsid w:val="009E38A7"/>
    <w:rsid w:val="009E3968"/>
    <w:rsid w:val="009E3E38"/>
    <w:rsid w:val="009E49D5"/>
    <w:rsid w:val="009E526C"/>
    <w:rsid w:val="009E5EDA"/>
    <w:rsid w:val="009F12F3"/>
    <w:rsid w:val="009F1D68"/>
    <w:rsid w:val="009F2174"/>
    <w:rsid w:val="009F3A85"/>
    <w:rsid w:val="009F44B8"/>
    <w:rsid w:val="009F4966"/>
    <w:rsid w:val="009F4BAD"/>
    <w:rsid w:val="009F4BD6"/>
    <w:rsid w:val="009F5589"/>
    <w:rsid w:val="009F6147"/>
    <w:rsid w:val="009F6A18"/>
    <w:rsid w:val="00A0017B"/>
    <w:rsid w:val="00A01470"/>
    <w:rsid w:val="00A01A63"/>
    <w:rsid w:val="00A044D0"/>
    <w:rsid w:val="00A04E02"/>
    <w:rsid w:val="00A059A5"/>
    <w:rsid w:val="00A06213"/>
    <w:rsid w:val="00A073E1"/>
    <w:rsid w:val="00A0747F"/>
    <w:rsid w:val="00A07641"/>
    <w:rsid w:val="00A10B51"/>
    <w:rsid w:val="00A118E2"/>
    <w:rsid w:val="00A14A72"/>
    <w:rsid w:val="00A14D32"/>
    <w:rsid w:val="00A15A73"/>
    <w:rsid w:val="00A16D63"/>
    <w:rsid w:val="00A17DAD"/>
    <w:rsid w:val="00A20D3F"/>
    <w:rsid w:val="00A2174E"/>
    <w:rsid w:val="00A222CC"/>
    <w:rsid w:val="00A22744"/>
    <w:rsid w:val="00A22AEB"/>
    <w:rsid w:val="00A22F3F"/>
    <w:rsid w:val="00A25038"/>
    <w:rsid w:val="00A25772"/>
    <w:rsid w:val="00A2592A"/>
    <w:rsid w:val="00A269FD"/>
    <w:rsid w:val="00A27009"/>
    <w:rsid w:val="00A27902"/>
    <w:rsid w:val="00A279BD"/>
    <w:rsid w:val="00A27D66"/>
    <w:rsid w:val="00A27F80"/>
    <w:rsid w:val="00A311E0"/>
    <w:rsid w:val="00A32346"/>
    <w:rsid w:val="00A327D1"/>
    <w:rsid w:val="00A333C9"/>
    <w:rsid w:val="00A33EF2"/>
    <w:rsid w:val="00A34351"/>
    <w:rsid w:val="00A3499C"/>
    <w:rsid w:val="00A36A7B"/>
    <w:rsid w:val="00A37896"/>
    <w:rsid w:val="00A37CEC"/>
    <w:rsid w:val="00A40256"/>
    <w:rsid w:val="00A40456"/>
    <w:rsid w:val="00A426A4"/>
    <w:rsid w:val="00A42FF2"/>
    <w:rsid w:val="00A440A8"/>
    <w:rsid w:val="00A44A19"/>
    <w:rsid w:val="00A51881"/>
    <w:rsid w:val="00A5312C"/>
    <w:rsid w:val="00A54333"/>
    <w:rsid w:val="00A54524"/>
    <w:rsid w:val="00A54F5E"/>
    <w:rsid w:val="00A55F8B"/>
    <w:rsid w:val="00A57697"/>
    <w:rsid w:val="00A57F0C"/>
    <w:rsid w:val="00A60C2A"/>
    <w:rsid w:val="00A621E8"/>
    <w:rsid w:val="00A628D9"/>
    <w:rsid w:val="00A66202"/>
    <w:rsid w:val="00A663A8"/>
    <w:rsid w:val="00A66E47"/>
    <w:rsid w:val="00A66F46"/>
    <w:rsid w:val="00A70456"/>
    <w:rsid w:val="00A70C44"/>
    <w:rsid w:val="00A710E2"/>
    <w:rsid w:val="00A72B53"/>
    <w:rsid w:val="00A72F24"/>
    <w:rsid w:val="00A73CB4"/>
    <w:rsid w:val="00A7557E"/>
    <w:rsid w:val="00A75639"/>
    <w:rsid w:val="00A75980"/>
    <w:rsid w:val="00A76AD1"/>
    <w:rsid w:val="00A76DAD"/>
    <w:rsid w:val="00A776D3"/>
    <w:rsid w:val="00A83A3E"/>
    <w:rsid w:val="00A843BD"/>
    <w:rsid w:val="00A84677"/>
    <w:rsid w:val="00A8551D"/>
    <w:rsid w:val="00A85975"/>
    <w:rsid w:val="00A85E48"/>
    <w:rsid w:val="00A86A44"/>
    <w:rsid w:val="00A86E95"/>
    <w:rsid w:val="00A8702A"/>
    <w:rsid w:val="00A87E4A"/>
    <w:rsid w:val="00A90A3B"/>
    <w:rsid w:val="00A9120D"/>
    <w:rsid w:val="00A91FCF"/>
    <w:rsid w:val="00A92BDB"/>
    <w:rsid w:val="00A92CCD"/>
    <w:rsid w:val="00A93A32"/>
    <w:rsid w:val="00A93F79"/>
    <w:rsid w:val="00A94921"/>
    <w:rsid w:val="00A961B2"/>
    <w:rsid w:val="00AA057B"/>
    <w:rsid w:val="00AA1276"/>
    <w:rsid w:val="00AA1E49"/>
    <w:rsid w:val="00AA27C7"/>
    <w:rsid w:val="00AA3002"/>
    <w:rsid w:val="00AA5C7E"/>
    <w:rsid w:val="00AA7553"/>
    <w:rsid w:val="00AB01E1"/>
    <w:rsid w:val="00AB1A63"/>
    <w:rsid w:val="00AB1AEA"/>
    <w:rsid w:val="00AB21EA"/>
    <w:rsid w:val="00AB2E94"/>
    <w:rsid w:val="00AB2F87"/>
    <w:rsid w:val="00AB4858"/>
    <w:rsid w:val="00AB48CA"/>
    <w:rsid w:val="00AB5404"/>
    <w:rsid w:val="00AB69B5"/>
    <w:rsid w:val="00AB6E11"/>
    <w:rsid w:val="00AC0DE8"/>
    <w:rsid w:val="00AC1A14"/>
    <w:rsid w:val="00AC1EB2"/>
    <w:rsid w:val="00AC23D2"/>
    <w:rsid w:val="00AC28D5"/>
    <w:rsid w:val="00AC2D2E"/>
    <w:rsid w:val="00AC368D"/>
    <w:rsid w:val="00AC4CCD"/>
    <w:rsid w:val="00AC5272"/>
    <w:rsid w:val="00AC5376"/>
    <w:rsid w:val="00AC59E9"/>
    <w:rsid w:val="00AC63C6"/>
    <w:rsid w:val="00AC649B"/>
    <w:rsid w:val="00AC71DD"/>
    <w:rsid w:val="00AD0780"/>
    <w:rsid w:val="00AD092F"/>
    <w:rsid w:val="00AD18E4"/>
    <w:rsid w:val="00AD1A62"/>
    <w:rsid w:val="00AD2DA2"/>
    <w:rsid w:val="00AD3332"/>
    <w:rsid w:val="00AD3B0E"/>
    <w:rsid w:val="00AD4CD5"/>
    <w:rsid w:val="00AD660E"/>
    <w:rsid w:val="00AD6C9E"/>
    <w:rsid w:val="00AD6FE8"/>
    <w:rsid w:val="00AD74FB"/>
    <w:rsid w:val="00AD7B47"/>
    <w:rsid w:val="00AE06F5"/>
    <w:rsid w:val="00AE282D"/>
    <w:rsid w:val="00AE2BAF"/>
    <w:rsid w:val="00AE3B04"/>
    <w:rsid w:val="00AE461F"/>
    <w:rsid w:val="00AE472C"/>
    <w:rsid w:val="00AE5DAC"/>
    <w:rsid w:val="00AE72F9"/>
    <w:rsid w:val="00AF0289"/>
    <w:rsid w:val="00AF1021"/>
    <w:rsid w:val="00AF2276"/>
    <w:rsid w:val="00AF2996"/>
    <w:rsid w:val="00AF2FC2"/>
    <w:rsid w:val="00AF54DC"/>
    <w:rsid w:val="00AF708A"/>
    <w:rsid w:val="00AF7601"/>
    <w:rsid w:val="00AF7806"/>
    <w:rsid w:val="00B01787"/>
    <w:rsid w:val="00B0217B"/>
    <w:rsid w:val="00B026A8"/>
    <w:rsid w:val="00B02F1B"/>
    <w:rsid w:val="00B035F0"/>
    <w:rsid w:val="00B03F07"/>
    <w:rsid w:val="00B046E0"/>
    <w:rsid w:val="00B058F9"/>
    <w:rsid w:val="00B060BE"/>
    <w:rsid w:val="00B0637A"/>
    <w:rsid w:val="00B06C04"/>
    <w:rsid w:val="00B0790D"/>
    <w:rsid w:val="00B07D3B"/>
    <w:rsid w:val="00B10BDA"/>
    <w:rsid w:val="00B13376"/>
    <w:rsid w:val="00B15091"/>
    <w:rsid w:val="00B15B28"/>
    <w:rsid w:val="00B16CF1"/>
    <w:rsid w:val="00B16FBE"/>
    <w:rsid w:val="00B17194"/>
    <w:rsid w:val="00B17F2F"/>
    <w:rsid w:val="00B23D29"/>
    <w:rsid w:val="00B24692"/>
    <w:rsid w:val="00B2562F"/>
    <w:rsid w:val="00B259DA"/>
    <w:rsid w:val="00B25F6E"/>
    <w:rsid w:val="00B26A02"/>
    <w:rsid w:val="00B26E26"/>
    <w:rsid w:val="00B27A70"/>
    <w:rsid w:val="00B3080E"/>
    <w:rsid w:val="00B31A79"/>
    <w:rsid w:val="00B31F17"/>
    <w:rsid w:val="00B331BB"/>
    <w:rsid w:val="00B33369"/>
    <w:rsid w:val="00B3371C"/>
    <w:rsid w:val="00B34C29"/>
    <w:rsid w:val="00B34FCF"/>
    <w:rsid w:val="00B36CA7"/>
    <w:rsid w:val="00B36D07"/>
    <w:rsid w:val="00B36D95"/>
    <w:rsid w:val="00B37B17"/>
    <w:rsid w:val="00B41208"/>
    <w:rsid w:val="00B4180D"/>
    <w:rsid w:val="00B41873"/>
    <w:rsid w:val="00B434EA"/>
    <w:rsid w:val="00B43F20"/>
    <w:rsid w:val="00B441D7"/>
    <w:rsid w:val="00B4641A"/>
    <w:rsid w:val="00B46E0D"/>
    <w:rsid w:val="00B47669"/>
    <w:rsid w:val="00B47B6B"/>
    <w:rsid w:val="00B47CA1"/>
    <w:rsid w:val="00B5033A"/>
    <w:rsid w:val="00B513E4"/>
    <w:rsid w:val="00B51937"/>
    <w:rsid w:val="00B52C69"/>
    <w:rsid w:val="00B53EAE"/>
    <w:rsid w:val="00B57BF3"/>
    <w:rsid w:val="00B60521"/>
    <w:rsid w:val="00B60DE7"/>
    <w:rsid w:val="00B613A5"/>
    <w:rsid w:val="00B61C62"/>
    <w:rsid w:val="00B62A97"/>
    <w:rsid w:val="00B63482"/>
    <w:rsid w:val="00B6359A"/>
    <w:rsid w:val="00B63D47"/>
    <w:rsid w:val="00B64A15"/>
    <w:rsid w:val="00B64E38"/>
    <w:rsid w:val="00B656D7"/>
    <w:rsid w:val="00B6590E"/>
    <w:rsid w:val="00B65D1B"/>
    <w:rsid w:val="00B674FF"/>
    <w:rsid w:val="00B7006D"/>
    <w:rsid w:val="00B7081F"/>
    <w:rsid w:val="00B71A04"/>
    <w:rsid w:val="00B71C56"/>
    <w:rsid w:val="00B7269F"/>
    <w:rsid w:val="00B73467"/>
    <w:rsid w:val="00B74224"/>
    <w:rsid w:val="00B76E8B"/>
    <w:rsid w:val="00B77056"/>
    <w:rsid w:val="00B77F8F"/>
    <w:rsid w:val="00B80151"/>
    <w:rsid w:val="00B8106C"/>
    <w:rsid w:val="00B81623"/>
    <w:rsid w:val="00B817DB"/>
    <w:rsid w:val="00B8617A"/>
    <w:rsid w:val="00B86830"/>
    <w:rsid w:val="00B86FF9"/>
    <w:rsid w:val="00B902BF"/>
    <w:rsid w:val="00B9061F"/>
    <w:rsid w:val="00B9064B"/>
    <w:rsid w:val="00B90724"/>
    <w:rsid w:val="00B9141B"/>
    <w:rsid w:val="00B91C32"/>
    <w:rsid w:val="00B92D29"/>
    <w:rsid w:val="00B93577"/>
    <w:rsid w:val="00B93E52"/>
    <w:rsid w:val="00B93FDA"/>
    <w:rsid w:val="00B9482E"/>
    <w:rsid w:val="00B951BE"/>
    <w:rsid w:val="00B97891"/>
    <w:rsid w:val="00B97897"/>
    <w:rsid w:val="00B97A59"/>
    <w:rsid w:val="00BA0346"/>
    <w:rsid w:val="00BA18DC"/>
    <w:rsid w:val="00BA1D8E"/>
    <w:rsid w:val="00BA3D99"/>
    <w:rsid w:val="00BA51A3"/>
    <w:rsid w:val="00BA5809"/>
    <w:rsid w:val="00BA5A8D"/>
    <w:rsid w:val="00BB0283"/>
    <w:rsid w:val="00BB0A33"/>
    <w:rsid w:val="00BB0CD3"/>
    <w:rsid w:val="00BB25C7"/>
    <w:rsid w:val="00BB34B2"/>
    <w:rsid w:val="00BB3EC9"/>
    <w:rsid w:val="00BB5C30"/>
    <w:rsid w:val="00BB6E78"/>
    <w:rsid w:val="00BB713D"/>
    <w:rsid w:val="00BC0427"/>
    <w:rsid w:val="00BC0C6E"/>
    <w:rsid w:val="00BC0D68"/>
    <w:rsid w:val="00BC10F0"/>
    <w:rsid w:val="00BC19E5"/>
    <w:rsid w:val="00BC1DC9"/>
    <w:rsid w:val="00BC243C"/>
    <w:rsid w:val="00BC2848"/>
    <w:rsid w:val="00BC31B2"/>
    <w:rsid w:val="00BC3617"/>
    <w:rsid w:val="00BC46CB"/>
    <w:rsid w:val="00BC5585"/>
    <w:rsid w:val="00BC587B"/>
    <w:rsid w:val="00BC5E2E"/>
    <w:rsid w:val="00BC6C51"/>
    <w:rsid w:val="00BC765D"/>
    <w:rsid w:val="00BD0AF5"/>
    <w:rsid w:val="00BD177C"/>
    <w:rsid w:val="00BD27E0"/>
    <w:rsid w:val="00BD384C"/>
    <w:rsid w:val="00BD39EF"/>
    <w:rsid w:val="00BD551A"/>
    <w:rsid w:val="00BD5FEC"/>
    <w:rsid w:val="00BD73E4"/>
    <w:rsid w:val="00BD745D"/>
    <w:rsid w:val="00BE16D5"/>
    <w:rsid w:val="00BE1892"/>
    <w:rsid w:val="00BE22EC"/>
    <w:rsid w:val="00BE4C1D"/>
    <w:rsid w:val="00BE5298"/>
    <w:rsid w:val="00BE5B7B"/>
    <w:rsid w:val="00BE7688"/>
    <w:rsid w:val="00BF0057"/>
    <w:rsid w:val="00BF11CD"/>
    <w:rsid w:val="00BF1C7D"/>
    <w:rsid w:val="00BF219B"/>
    <w:rsid w:val="00BF2367"/>
    <w:rsid w:val="00BF3AAA"/>
    <w:rsid w:val="00BF3E14"/>
    <w:rsid w:val="00BF416A"/>
    <w:rsid w:val="00BF4650"/>
    <w:rsid w:val="00BF4CBA"/>
    <w:rsid w:val="00BF4F33"/>
    <w:rsid w:val="00C008E3"/>
    <w:rsid w:val="00C00A73"/>
    <w:rsid w:val="00C00BD8"/>
    <w:rsid w:val="00C01BE0"/>
    <w:rsid w:val="00C03683"/>
    <w:rsid w:val="00C04116"/>
    <w:rsid w:val="00C0456F"/>
    <w:rsid w:val="00C04672"/>
    <w:rsid w:val="00C04EE3"/>
    <w:rsid w:val="00C054C2"/>
    <w:rsid w:val="00C05D34"/>
    <w:rsid w:val="00C06A42"/>
    <w:rsid w:val="00C06B05"/>
    <w:rsid w:val="00C06B8E"/>
    <w:rsid w:val="00C07869"/>
    <w:rsid w:val="00C115BA"/>
    <w:rsid w:val="00C12F8A"/>
    <w:rsid w:val="00C149AB"/>
    <w:rsid w:val="00C14DFD"/>
    <w:rsid w:val="00C150E4"/>
    <w:rsid w:val="00C159C8"/>
    <w:rsid w:val="00C16120"/>
    <w:rsid w:val="00C1688B"/>
    <w:rsid w:val="00C203A1"/>
    <w:rsid w:val="00C20E0B"/>
    <w:rsid w:val="00C21140"/>
    <w:rsid w:val="00C218CC"/>
    <w:rsid w:val="00C22214"/>
    <w:rsid w:val="00C22B82"/>
    <w:rsid w:val="00C22DFA"/>
    <w:rsid w:val="00C24991"/>
    <w:rsid w:val="00C27F76"/>
    <w:rsid w:val="00C30E71"/>
    <w:rsid w:val="00C3133D"/>
    <w:rsid w:val="00C31496"/>
    <w:rsid w:val="00C317A3"/>
    <w:rsid w:val="00C33BBA"/>
    <w:rsid w:val="00C34587"/>
    <w:rsid w:val="00C34D8D"/>
    <w:rsid w:val="00C3549F"/>
    <w:rsid w:val="00C356F8"/>
    <w:rsid w:val="00C35856"/>
    <w:rsid w:val="00C36265"/>
    <w:rsid w:val="00C40593"/>
    <w:rsid w:val="00C4076A"/>
    <w:rsid w:val="00C42381"/>
    <w:rsid w:val="00C42F02"/>
    <w:rsid w:val="00C439A9"/>
    <w:rsid w:val="00C44C5C"/>
    <w:rsid w:val="00C44E5E"/>
    <w:rsid w:val="00C44F4B"/>
    <w:rsid w:val="00C4515A"/>
    <w:rsid w:val="00C45485"/>
    <w:rsid w:val="00C463D0"/>
    <w:rsid w:val="00C46D53"/>
    <w:rsid w:val="00C479EA"/>
    <w:rsid w:val="00C50209"/>
    <w:rsid w:val="00C50452"/>
    <w:rsid w:val="00C505EB"/>
    <w:rsid w:val="00C5186D"/>
    <w:rsid w:val="00C5194A"/>
    <w:rsid w:val="00C51CDE"/>
    <w:rsid w:val="00C51EA7"/>
    <w:rsid w:val="00C52622"/>
    <w:rsid w:val="00C53AB7"/>
    <w:rsid w:val="00C53FB7"/>
    <w:rsid w:val="00C54408"/>
    <w:rsid w:val="00C55783"/>
    <w:rsid w:val="00C55B7E"/>
    <w:rsid w:val="00C5618E"/>
    <w:rsid w:val="00C5708B"/>
    <w:rsid w:val="00C62444"/>
    <w:rsid w:val="00C642C2"/>
    <w:rsid w:val="00C64AC7"/>
    <w:rsid w:val="00C64B2B"/>
    <w:rsid w:val="00C64ECC"/>
    <w:rsid w:val="00C64F48"/>
    <w:rsid w:val="00C6560E"/>
    <w:rsid w:val="00C656E9"/>
    <w:rsid w:val="00C66284"/>
    <w:rsid w:val="00C66346"/>
    <w:rsid w:val="00C66718"/>
    <w:rsid w:val="00C667D3"/>
    <w:rsid w:val="00C706A6"/>
    <w:rsid w:val="00C713EF"/>
    <w:rsid w:val="00C72DE1"/>
    <w:rsid w:val="00C72FD8"/>
    <w:rsid w:val="00C73937"/>
    <w:rsid w:val="00C75072"/>
    <w:rsid w:val="00C756D7"/>
    <w:rsid w:val="00C75F3B"/>
    <w:rsid w:val="00C75FE6"/>
    <w:rsid w:val="00C761B5"/>
    <w:rsid w:val="00C76CDC"/>
    <w:rsid w:val="00C777CB"/>
    <w:rsid w:val="00C8110A"/>
    <w:rsid w:val="00C819D5"/>
    <w:rsid w:val="00C82D0B"/>
    <w:rsid w:val="00C8335F"/>
    <w:rsid w:val="00C8357A"/>
    <w:rsid w:val="00C83D83"/>
    <w:rsid w:val="00C84C5C"/>
    <w:rsid w:val="00C84F79"/>
    <w:rsid w:val="00C859C8"/>
    <w:rsid w:val="00C85AF6"/>
    <w:rsid w:val="00C86D98"/>
    <w:rsid w:val="00C876C2"/>
    <w:rsid w:val="00C87F12"/>
    <w:rsid w:val="00C90489"/>
    <w:rsid w:val="00C914D6"/>
    <w:rsid w:val="00C938E9"/>
    <w:rsid w:val="00C947F4"/>
    <w:rsid w:val="00C9661C"/>
    <w:rsid w:val="00C978A7"/>
    <w:rsid w:val="00C97B9C"/>
    <w:rsid w:val="00C97BD2"/>
    <w:rsid w:val="00CA1ECA"/>
    <w:rsid w:val="00CA323F"/>
    <w:rsid w:val="00CA5D94"/>
    <w:rsid w:val="00CA5F46"/>
    <w:rsid w:val="00CA6327"/>
    <w:rsid w:val="00CB0E00"/>
    <w:rsid w:val="00CB0EBB"/>
    <w:rsid w:val="00CB17F6"/>
    <w:rsid w:val="00CB1BEF"/>
    <w:rsid w:val="00CB27BB"/>
    <w:rsid w:val="00CB2E9B"/>
    <w:rsid w:val="00CB46E4"/>
    <w:rsid w:val="00CB6F99"/>
    <w:rsid w:val="00CC03C9"/>
    <w:rsid w:val="00CC21F2"/>
    <w:rsid w:val="00CC24B6"/>
    <w:rsid w:val="00CC42AD"/>
    <w:rsid w:val="00CC443D"/>
    <w:rsid w:val="00CC4742"/>
    <w:rsid w:val="00CC4B18"/>
    <w:rsid w:val="00CC7C40"/>
    <w:rsid w:val="00CD02F0"/>
    <w:rsid w:val="00CD06F6"/>
    <w:rsid w:val="00CD0E3F"/>
    <w:rsid w:val="00CD1009"/>
    <w:rsid w:val="00CD11F5"/>
    <w:rsid w:val="00CD1D31"/>
    <w:rsid w:val="00CD1FC1"/>
    <w:rsid w:val="00CD5319"/>
    <w:rsid w:val="00CD5A35"/>
    <w:rsid w:val="00CD7452"/>
    <w:rsid w:val="00CE04DF"/>
    <w:rsid w:val="00CE0AE9"/>
    <w:rsid w:val="00CE15C0"/>
    <w:rsid w:val="00CE1F57"/>
    <w:rsid w:val="00CE5436"/>
    <w:rsid w:val="00CE55DC"/>
    <w:rsid w:val="00CE6B43"/>
    <w:rsid w:val="00CE6C69"/>
    <w:rsid w:val="00CE7A3B"/>
    <w:rsid w:val="00CF08F9"/>
    <w:rsid w:val="00CF0B36"/>
    <w:rsid w:val="00CF1963"/>
    <w:rsid w:val="00CF482C"/>
    <w:rsid w:val="00CF493B"/>
    <w:rsid w:val="00CF4D2C"/>
    <w:rsid w:val="00CF503D"/>
    <w:rsid w:val="00CF5117"/>
    <w:rsid w:val="00CF6076"/>
    <w:rsid w:val="00CF633B"/>
    <w:rsid w:val="00CF6E63"/>
    <w:rsid w:val="00CF6F78"/>
    <w:rsid w:val="00CF7161"/>
    <w:rsid w:val="00CF7169"/>
    <w:rsid w:val="00D00861"/>
    <w:rsid w:val="00D012B8"/>
    <w:rsid w:val="00D02EBB"/>
    <w:rsid w:val="00D04061"/>
    <w:rsid w:val="00D04990"/>
    <w:rsid w:val="00D0564A"/>
    <w:rsid w:val="00D06721"/>
    <w:rsid w:val="00D06A94"/>
    <w:rsid w:val="00D06C30"/>
    <w:rsid w:val="00D07079"/>
    <w:rsid w:val="00D076C7"/>
    <w:rsid w:val="00D100B3"/>
    <w:rsid w:val="00D10346"/>
    <w:rsid w:val="00D12964"/>
    <w:rsid w:val="00D12FC9"/>
    <w:rsid w:val="00D136F9"/>
    <w:rsid w:val="00D13A1E"/>
    <w:rsid w:val="00D14080"/>
    <w:rsid w:val="00D1478E"/>
    <w:rsid w:val="00D159AB"/>
    <w:rsid w:val="00D15BE9"/>
    <w:rsid w:val="00D1602C"/>
    <w:rsid w:val="00D162BD"/>
    <w:rsid w:val="00D16812"/>
    <w:rsid w:val="00D16CEF"/>
    <w:rsid w:val="00D17271"/>
    <w:rsid w:val="00D17C97"/>
    <w:rsid w:val="00D20213"/>
    <w:rsid w:val="00D208EB"/>
    <w:rsid w:val="00D21705"/>
    <w:rsid w:val="00D21DB1"/>
    <w:rsid w:val="00D21DBB"/>
    <w:rsid w:val="00D22DF7"/>
    <w:rsid w:val="00D23630"/>
    <w:rsid w:val="00D2380C"/>
    <w:rsid w:val="00D244CA"/>
    <w:rsid w:val="00D2750B"/>
    <w:rsid w:val="00D3186E"/>
    <w:rsid w:val="00D31BCF"/>
    <w:rsid w:val="00D32470"/>
    <w:rsid w:val="00D329BE"/>
    <w:rsid w:val="00D33BFD"/>
    <w:rsid w:val="00D3423C"/>
    <w:rsid w:val="00D34741"/>
    <w:rsid w:val="00D36D44"/>
    <w:rsid w:val="00D375CF"/>
    <w:rsid w:val="00D37F39"/>
    <w:rsid w:val="00D40C32"/>
    <w:rsid w:val="00D419D6"/>
    <w:rsid w:val="00D41C37"/>
    <w:rsid w:val="00D42749"/>
    <w:rsid w:val="00D42D95"/>
    <w:rsid w:val="00D43AF2"/>
    <w:rsid w:val="00D43F38"/>
    <w:rsid w:val="00D44255"/>
    <w:rsid w:val="00D44D29"/>
    <w:rsid w:val="00D4544F"/>
    <w:rsid w:val="00D46A48"/>
    <w:rsid w:val="00D46A7C"/>
    <w:rsid w:val="00D47EC3"/>
    <w:rsid w:val="00D50892"/>
    <w:rsid w:val="00D50970"/>
    <w:rsid w:val="00D52592"/>
    <w:rsid w:val="00D52E22"/>
    <w:rsid w:val="00D54B4A"/>
    <w:rsid w:val="00D629CB"/>
    <w:rsid w:val="00D6415C"/>
    <w:rsid w:val="00D64179"/>
    <w:rsid w:val="00D662DD"/>
    <w:rsid w:val="00D66A77"/>
    <w:rsid w:val="00D70BD8"/>
    <w:rsid w:val="00D712FE"/>
    <w:rsid w:val="00D73384"/>
    <w:rsid w:val="00D74A84"/>
    <w:rsid w:val="00D758FC"/>
    <w:rsid w:val="00D762F0"/>
    <w:rsid w:val="00D770EE"/>
    <w:rsid w:val="00D811A6"/>
    <w:rsid w:val="00D8126B"/>
    <w:rsid w:val="00D81FE5"/>
    <w:rsid w:val="00D82C1F"/>
    <w:rsid w:val="00D84566"/>
    <w:rsid w:val="00D85A0F"/>
    <w:rsid w:val="00D85A63"/>
    <w:rsid w:val="00D86710"/>
    <w:rsid w:val="00D90FDD"/>
    <w:rsid w:val="00D91E41"/>
    <w:rsid w:val="00D924D1"/>
    <w:rsid w:val="00D925FB"/>
    <w:rsid w:val="00D92F2D"/>
    <w:rsid w:val="00D936F3"/>
    <w:rsid w:val="00D93EF0"/>
    <w:rsid w:val="00D9590F"/>
    <w:rsid w:val="00D966CC"/>
    <w:rsid w:val="00D96A0D"/>
    <w:rsid w:val="00DA115C"/>
    <w:rsid w:val="00DA1BC4"/>
    <w:rsid w:val="00DA293C"/>
    <w:rsid w:val="00DA2C3D"/>
    <w:rsid w:val="00DA3045"/>
    <w:rsid w:val="00DA4829"/>
    <w:rsid w:val="00DA5929"/>
    <w:rsid w:val="00DB02D3"/>
    <w:rsid w:val="00DB07FB"/>
    <w:rsid w:val="00DB08FC"/>
    <w:rsid w:val="00DB142D"/>
    <w:rsid w:val="00DB1DEE"/>
    <w:rsid w:val="00DB3167"/>
    <w:rsid w:val="00DB3A78"/>
    <w:rsid w:val="00DB42A5"/>
    <w:rsid w:val="00DB43E2"/>
    <w:rsid w:val="00DB46F9"/>
    <w:rsid w:val="00DB58D4"/>
    <w:rsid w:val="00DB6CF5"/>
    <w:rsid w:val="00DB7318"/>
    <w:rsid w:val="00DB7391"/>
    <w:rsid w:val="00DB7E72"/>
    <w:rsid w:val="00DC5096"/>
    <w:rsid w:val="00DC5544"/>
    <w:rsid w:val="00DD006A"/>
    <w:rsid w:val="00DD06AB"/>
    <w:rsid w:val="00DD102D"/>
    <w:rsid w:val="00DD19E2"/>
    <w:rsid w:val="00DD2B8C"/>
    <w:rsid w:val="00DD44EC"/>
    <w:rsid w:val="00DD477B"/>
    <w:rsid w:val="00DD5058"/>
    <w:rsid w:val="00DD5790"/>
    <w:rsid w:val="00DD5A57"/>
    <w:rsid w:val="00DD6469"/>
    <w:rsid w:val="00DD766E"/>
    <w:rsid w:val="00DD7D8A"/>
    <w:rsid w:val="00DD7EBA"/>
    <w:rsid w:val="00DE00BF"/>
    <w:rsid w:val="00DE05B5"/>
    <w:rsid w:val="00DE070C"/>
    <w:rsid w:val="00DE17EA"/>
    <w:rsid w:val="00DE17F5"/>
    <w:rsid w:val="00DE24C7"/>
    <w:rsid w:val="00DE35E8"/>
    <w:rsid w:val="00DE438A"/>
    <w:rsid w:val="00DE45F1"/>
    <w:rsid w:val="00DE5756"/>
    <w:rsid w:val="00DE68CF"/>
    <w:rsid w:val="00DE759A"/>
    <w:rsid w:val="00DF35C4"/>
    <w:rsid w:val="00DF3859"/>
    <w:rsid w:val="00DF40D9"/>
    <w:rsid w:val="00DF415F"/>
    <w:rsid w:val="00DF4594"/>
    <w:rsid w:val="00DF4A05"/>
    <w:rsid w:val="00DF5561"/>
    <w:rsid w:val="00DF5E2D"/>
    <w:rsid w:val="00DF6BDD"/>
    <w:rsid w:val="00DF6FA0"/>
    <w:rsid w:val="00E01032"/>
    <w:rsid w:val="00E0242B"/>
    <w:rsid w:val="00E06063"/>
    <w:rsid w:val="00E10B23"/>
    <w:rsid w:val="00E10C8F"/>
    <w:rsid w:val="00E10D3E"/>
    <w:rsid w:val="00E11540"/>
    <w:rsid w:val="00E12104"/>
    <w:rsid w:val="00E12749"/>
    <w:rsid w:val="00E12B79"/>
    <w:rsid w:val="00E1568F"/>
    <w:rsid w:val="00E15903"/>
    <w:rsid w:val="00E15F75"/>
    <w:rsid w:val="00E16D33"/>
    <w:rsid w:val="00E16E28"/>
    <w:rsid w:val="00E16E7E"/>
    <w:rsid w:val="00E17162"/>
    <w:rsid w:val="00E2280D"/>
    <w:rsid w:val="00E228C9"/>
    <w:rsid w:val="00E22D09"/>
    <w:rsid w:val="00E23082"/>
    <w:rsid w:val="00E2502E"/>
    <w:rsid w:val="00E25965"/>
    <w:rsid w:val="00E25FE5"/>
    <w:rsid w:val="00E26085"/>
    <w:rsid w:val="00E260CF"/>
    <w:rsid w:val="00E262A1"/>
    <w:rsid w:val="00E30CB3"/>
    <w:rsid w:val="00E32C9A"/>
    <w:rsid w:val="00E33386"/>
    <w:rsid w:val="00E3354D"/>
    <w:rsid w:val="00E33D4B"/>
    <w:rsid w:val="00E33E42"/>
    <w:rsid w:val="00E33EA3"/>
    <w:rsid w:val="00E3458B"/>
    <w:rsid w:val="00E34BAF"/>
    <w:rsid w:val="00E34DE2"/>
    <w:rsid w:val="00E35953"/>
    <w:rsid w:val="00E35BDE"/>
    <w:rsid w:val="00E35E28"/>
    <w:rsid w:val="00E35FFE"/>
    <w:rsid w:val="00E36314"/>
    <w:rsid w:val="00E36539"/>
    <w:rsid w:val="00E3747B"/>
    <w:rsid w:val="00E409BA"/>
    <w:rsid w:val="00E40DC1"/>
    <w:rsid w:val="00E42961"/>
    <w:rsid w:val="00E43055"/>
    <w:rsid w:val="00E4378D"/>
    <w:rsid w:val="00E44AB4"/>
    <w:rsid w:val="00E4584F"/>
    <w:rsid w:val="00E474EE"/>
    <w:rsid w:val="00E517A5"/>
    <w:rsid w:val="00E555FD"/>
    <w:rsid w:val="00E5769F"/>
    <w:rsid w:val="00E6059D"/>
    <w:rsid w:val="00E610F2"/>
    <w:rsid w:val="00E6122B"/>
    <w:rsid w:val="00E62E7E"/>
    <w:rsid w:val="00E645BD"/>
    <w:rsid w:val="00E668B0"/>
    <w:rsid w:val="00E66F4B"/>
    <w:rsid w:val="00E7042C"/>
    <w:rsid w:val="00E707DA"/>
    <w:rsid w:val="00E70B5E"/>
    <w:rsid w:val="00E70ED3"/>
    <w:rsid w:val="00E71547"/>
    <w:rsid w:val="00E7171F"/>
    <w:rsid w:val="00E71B22"/>
    <w:rsid w:val="00E72822"/>
    <w:rsid w:val="00E72E51"/>
    <w:rsid w:val="00E74961"/>
    <w:rsid w:val="00E749C8"/>
    <w:rsid w:val="00E74ECE"/>
    <w:rsid w:val="00E76103"/>
    <w:rsid w:val="00E76CFE"/>
    <w:rsid w:val="00E76E2B"/>
    <w:rsid w:val="00E776D2"/>
    <w:rsid w:val="00E77CA2"/>
    <w:rsid w:val="00E77F03"/>
    <w:rsid w:val="00E77FE3"/>
    <w:rsid w:val="00E8013E"/>
    <w:rsid w:val="00E8157C"/>
    <w:rsid w:val="00E8225A"/>
    <w:rsid w:val="00E8227C"/>
    <w:rsid w:val="00E828F7"/>
    <w:rsid w:val="00E82A6C"/>
    <w:rsid w:val="00E8444C"/>
    <w:rsid w:val="00E8606B"/>
    <w:rsid w:val="00E90316"/>
    <w:rsid w:val="00E91201"/>
    <w:rsid w:val="00E913B8"/>
    <w:rsid w:val="00E92C33"/>
    <w:rsid w:val="00E930A3"/>
    <w:rsid w:val="00E93272"/>
    <w:rsid w:val="00E936D2"/>
    <w:rsid w:val="00E93806"/>
    <w:rsid w:val="00E93F65"/>
    <w:rsid w:val="00E94147"/>
    <w:rsid w:val="00E94D9D"/>
    <w:rsid w:val="00E961AB"/>
    <w:rsid w:val="00E96448"/>
    <w:rsid w:val="00E96ED3"/>
    <w:rsid w:val="00E974D1"/>
    <w:rsid w:val="00EA0FD8"/>
    <w:rsid w:val="00EA1BDA"/>
    <w:rsid w:val="00EA2A85"/>
    <w:rsid w:val="00EA2E24"/>
    <w:rsid w:val="00EA35A6"/>
    <w:rsid w:val="00EA6663"/>
    <w:rsid w:val="00EB1838"/>
    <w:rsid w:val="00EB3D04"/>
    <w:rsid w:val="00EB424E"/>
    <w:rsid w:val="00EB4ADD"/>
    <w:rsid w:val="00EB5B54"/>
    <w:rsid w:val="00EB5E55"/>
    <w:rsid w:val="00EB65CD"/>
    <w:rsid w:val="00EB6C5B"/>
    <w:rsid w:val="00EB78FE"/>
    <w:rsid w:val="00EB7B73"/>
    <w:rsid w:val="00EB7F46"/>
    <w:rsid w:val="00EC3210"/>
    <w:rsid w:val="00EC325D"/>
    <w:rsid w:val="00EC3629"/>
    <w:rsid w:val="00EC7287"/>
    <w:rsid w:val="00EC75C7"/>
    <w:rsid w:val="00EC764D"/>
    <w:rsid w:val="00EC7CAC"/>
    <w:rsid w:val="00ED0806"/>
    <w:rsid w:val="00ED0EF6"/>
    <w:rsid w:val="00ED2910"/>
    <w:rsid w:val="00ED297E"/>
    <w:rsid w:val="00ED2B3D"/>
    <w:rsid w:val="00ED319E"/>
    <w:rsid w:val="00ED3864"/>
    <w:rsid w:val="00ED3F0E"/>
    <w:rsid w:val="00ED45D2"/>
    <w:rsid w:val="00ED5B03"/>
    <w:rsid w:val="00ED5C03"/>
    <w:rsid w:val="00ED5D20"/>
    <w:rsid w:val="00ED667F"/>
    <w:rsid w:val="00ED69F6"/>
    <w:rsid w:val="00EE022E"/>
    <w:rsid w:val="00EE231D"/>
    <w:rsid w:val="00EE2EEA"/>
    <w:rsid w:val="00EE4DDE"/>
    <w:rsid w:val="00EE5A61"/>
    <w:rsid w:val="00EE5FF1"/>
    <w:rsid w:val="00EE6D43"/>
    <w:rsid w:val="00EF2201"/>
    <w:rsid w:val="00EF3B8D"/>
    <w:rsid w:val="00EF437B"/>
    <w:rsid w:val="00EF45A3"/>
    <w:rsid w:val="00EF45DA"/>
    <w:rsid w:val="00EF4A03"/>
    <w:rsid w:val="00EF4CBE"/>
    <w:rsid w:val="00EF5510"/>
    <w:rsid w:val="00EF5A90"/>
    <w:rsid w:val="00EF5D35"/>
    <w:rsid w:val="00EF66A9"/>
    <w:rsid w:val="00EF6993"/>
    <w:rsid w:val="00EF718D"/>
    <w:rsid w:val="00EF730D"/>
    <w:rsid w:val="00EF7FCC"/>
    <w:rsid w:val="00F00010"/>
    <w:rsid w:val="00F00527"/>
    <w:rsid w:val="00F01B31"/>
    <w:rsid w:val="00F01E4A"/>
    <w:rsid w:val="00F02A0E"/>
    <w:rsid w:val="00F0304D"/>
    <w:rsid w:val="00F04095"/>
    <w:rsid w:val="00F04F28"/>
    <w:rsid w:val="00F0517E"/>
    <w:rsid w:val="00F052F4"/>
    <w:rsid w:val="00F05E7B"/>
    <w:rsid w:val="00F075CA"/>
    <w:rsid w:val="00F126B4"/>
    <w:rsid w:val="00F131F9"/>
    <w:rsid w:val="00F134DE"/>
    <w:rsid w:val="00F1385C"/>
    <w:rsid w:val="00F138E1"/>
    <w:rsid w:val="00F1409E"/>
    <w:rsid w:val="00F140DF"/>
    <w:rsid w:val="00F14340"/>
    <w:rsid w:val="00F143D5"/>
    <w:rsid w:val="00F1485F"/>
    <w:rsid w:val="00F15C7F"/>
    <w:rsid w:val="00F16752"/>
    <w:rsid w:val="00F16D74"/>
    <w:rsid w:val="00F16DF1"/>
    <w:rsid w:val="00F16FE7"/>
    <w:rsid w:val="00F1770E"/>
    <w:rsid w:val="00F17DA5"/>
    <w:rsid w:val="00F20ABA"/>
    <w:rsid w:val="00F20B0C"/>
    <w:rsid w:val="00F20D13"/>
    <w:rsid w:val="00F21EDC"/>
    <w:rsid w:val="00F220B7"/>
    <w:rsid w:val="00F221AF"/>
    <w:rsid w:val="00F222C9"/>
    <w:rsid w:val="00F23361"/>
    <w:rsid w:val="00F24D57"/>
    <w:rsid w:val="00F25850"/>
    <w:rsid w:val="00F25C18"/>
    <w:rsid w:val="00F30418"/>
    <w:rsid w:val="00F30422"/>
    <w:rsid w:val="00F3140F"/>
    <w:rsid w:val="00F316E2"/>
    <w:rsid w:val="00F31C9C"/>
    <w:rsid w:val="00F33A66"/>
    <w:rsid w:val="00F358C2"/>
    <w:rsid w:val="00F36A06"/>
    <w:rsid w:val="00F36A9C"/>
    <w:rsid w:val="00F37954"/>
    <w:rsid w:val="00F40222"/>
    <w:rsid w:val="00F403DA"/>
    <w:rsid w:val="00F405E1"/>
    <w:rsid w:val="00F405FE"/>
    <w:rsid w:val="00F41076"/>
    <w:rsid w:val="00F41098"/>
    <w:rsid w:val="00F41353"/>
    <w:rsid w:val="00F41449"/>
    <w:rsid w:val="00F4152C"/>
    <w:rsid w:val="00F41EEE"/>
    <w:rsid w:val="00F43049"/>
    <w:rsid w:val="00F441F5"/>
    <w:rsid w:val="00F45797"/>
    <w:rsid w:val="00F45A4F"/>
    <w:rsid w:val="00F46436"/>
    <w:rsid w:val="00F514AA"/>
    <w:rsid w:val="00F51901"/>
    <w:rsid w:val="00F5285D"/>
    <w:rsid w:val="00F52972"/>
    <w:rsid w:val="00F5379A"/>
    <w:rsid w:val="00F5453A"/>
    <w:rsid w:val="00F54A05"/>
    <w:rsid w:val="00F56BE8"/>
    <w:rsid w:val="00F570D3"/>
    <w:rsid w:val="00F574A4"/>
    <w:rsid w:val="00F60D99"/>
    <w:rsid w:val="00F61266"/>
    <w:rsid w:val="00F6262C"/>
    <w:rsid w:val="00F62FC4"/>
    <w:rsid w:val="00F65B87"/>
    <w:rsid w:val="00F65CE6"/>
    <w:rsid w:val="00F66003"/>
    <w:rsid w:val="00F66E40"/>
    <w:rsid w:val="00F713E1"/>
    <w:rsid w:val="00F71877"/>
    <w:rsid w:val="00F7193C"/>
    <w:rsid w:val="00F71E5F"/>
    <w:rsid w:val="00F723CA"/>
    <w:rsid w:val="00F72F09"/>
    <w:rsid w:val="00F73F18"/>
    <w:rsid w:val="00F75089"/>
    <w:rsid w:val="00F77B70"/>
    <w:rsid w:val="00F77FE5"/>
    <w:rsid w:val="00F81440"/>
    <w:rsid w:val="00F81E17"/>
    <w:rsid w:val="00F81FFE"/>
    <w:rsid w:val="00F82101"/>
    <w:rsid w:val="00F82565"/>
    <w:rsid w:val="00F82E91"/>
    <w:rsid w:val="00F8379B"/>
    <w:rsid w:val="00F85274"/>
    <w:rsid w:val="00F8544F"/>
    <w:rsid w:val="00F86BF7"/>
    <w:rsid w:val="00F909CB"/>
    <w:rsid w:val="00F93081"/>
    <w:rsid w:val="00F9331B"/>
    <w:rsid w:val="00F94623"/>
    <w:rsid w:val="00F953F0"/>
    <w:rsid w:val="00F9548A"/>
    <w:rsid w:val="00F9715F"/>
    <w:rsid w:val="00F9717B"/>
    <w:rsid w:val="00FA0A05"/>
    <w:rsid w:val="00FA2479"/>
    <w:rsid w:val="00FA2DAA"/>
    <w:rsid w:val="00FA3173"/>
    <w:rsid w:val="00FA324F"/>
    <w:rsid w:val="00FA3906"/>
    <w:rsid w:val="00FA3A06"/>
    <w:rsid w:val="00FA3E67"/>
    <w:rsid w:val="00FA47CC"/>
    <w:rsid w:val="00FA5135"/>
    <w:rsid w:val="00FA6CFD"/>
    <w:rsid w:val="00FA7BF8"/>
    <w:rsid w:val="00FA7ED5"/>
    <w:rsid w:val="00FB09D1"/>
    <w:rsid w:val="00FB0AD8"/>
    <w:rsid w:val="00FB1CB9"/>
    <w:rsid w:val="00FB1CBC"/>
    <w:rsid w:val="00FB3942"/>
    <w:rsid w:val="00FB47F4"/>
    <w:rsid w:val="00FB548D"/>
    <w:rsid w:val="00FB5C76"/>
    <w:rsid w:val="00FB5FAF"/>
    <w:rsid w:val="00FB6BBE"/>
    <w:rsid w:val="00FB7CCE"/>
    <w:rsid w:val="00FC1035"/>
    <w:rsid w:val="00FC1B5D"/>
    <w:rsid w:val="00FC2A38"/>
    <w:rsid w:val="00FC347F"/>
    <w:rsid w:val="00FC4D3B"/>
    <w:rsid w:val="00FC56D2"/>
    <w:rsid w:val="00FC5CD3"/>
    <w:rsid w:val="00FC6F85"/>
    <w:rsid w:val="00FC7084"/>
    <w:rsid w:val="00FC7B97"/>
    <w:rsid w:val="00FC7CB4"/>
    <w:rsid w:val="00FC7DCF"/>
    <w:rsid w:val="00FD05F9"/>
    <w:rsid w:val="00FD1A5A"/>
    <w:rsid w:val="00FD1C0E"/>
    <w:rsid w:val="00FD2CF1"/>
    <w:rsid w:val="00FD463A"/>
    <w:rsid w:val="00FD46DA"/>
    <w:rsid w:val="00FD4763"/>
    <w:rsid w:val="00FD4F38"/>
    <w:rsid w:val="00FD59C1"/>
    <w:rsid w:val="00FD617C"/>
    <w:rsid w:val="00FD75DF"/>
    <w:rsid w:val="00FD7C77"/>
    <w:rsid w:val="00FD7DE0"/>
    <w:rsid w:val="00FE09E4"/>
    <w:rsid w:val="00FE284E"/>
    <w:rsid w:val="00FE34A9"/>
    <w:rsid w:val="00FE36BD"/>
    <w:rsid w:val="00FE3A0D"/>
    <w:rsid w:val="00FE41A4"/>
    <w:rsid w:val="00FE4BAA"/>
    <w:rsid w:val="00FE55DD"/>
    <w:rsid w:val="00FE7BA3"/>
    <w:rsid w:val="00FF1F78"/>
    <w:rsid w:val="00FF2266"/>
    <w:rsid w:val="00FF22D2"/>
    <w:rsid w:val="00FF500E"/>
    <w:rsid w:val="00FF5A26"/>
    <w:rsid w:val="00FF6299"/>
    <w:rsid w:val="00FF64B3"/>
    <w:rsid w:val="00FF6C0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aynhan">
    <w:name w:val="ngaynhan"/>
    <w:basedOn w:val="Normal"/>
    <w:rsid w:val="00900886"/>
    <w:pPr>
      <w:widowControl w:val="0"/>
      <w:spacing w:before="200" w:after="560" w:line="240" w:lineRule="auto"/>
      <w:jc w:val="center"/>
    </w:pPr>
    <w:rPr>
      <w:rFonts w:ascii="Times New Roman" w:eastAsia="Times New Roman" w:hAnsi="Times New Roman" w:cs="Times New Roman"/>
      <w:sz w:val="20"/>
      <w:szCs w:val="20"/>
      <w:lang w:val="de-DE"/>
    </w:rPr>
  </w:style>
  <w:style w:type="paragraph" w:customStyle="1" w:styleId="Style78">
    <w:name w:val="Style78"/>
    <w:basedOn w:val="Normal"/>
    <w:rsid w:val="00900886"/>
    <w:pPr>
      <w:widowControl w:val="0"/>
      <w:spacing w:after="0" w:line="240" w:lineRule="auto"/>
      <w:jc w:val="center"/>
    </w:pPr>
    <w:rPr>
      <w:rFonts w:ascii="Times New Roman" w:eastAsia="SimSun" w:hAnsi="Times New Roman" w:cs="Times New Roman"/>
      <w:bCs/>
      <w:kern w:val="2"/>
      <w:sz w:val="36"/>
      <w:szCs w:val="36"/>
      <w:lang w:val="en-US" w:eastAsia="zh-CN"/>
    </w:rPr>
  </w:style>
  <w:style w:type="paragraph" w:customStyle="1" w:styleId="Style79">
    <w:name w:val="Style79"/>
    <w:basedOn w:val="Normal"/>
    <w:rsid w:val="00900886"/>
    <w:pPr>
      <w:keepNext/>
      <w:widowControl w:val="0"/>
      <w:spacing w:before="510" w:after="170" w:line="240" w:lineRule="auto"/>
      <w:jc w:val="center"/>
      <w:outlineLvl w:val="1"/>
    </w:pPr>
    <w:rPr>
      <w:rFonts w:ascii="Times New Roman" w:eastAsia="SimSun" w:hAnsi="Times New Roman" w:cs="Times New Roman"/>
      <w:bCs/>
      <w:kern w:val="2"/>
      <w:sz w:val="27"/>
      <w:szCs w:val="27"/>
      <w:lang w:val="en-US" w:eastAsia="zh-CN"/>
    </w:rPr>
  </w:style>
  <w:style w:type="paragraph" w:customStyle="1" w:styleId="Style80">
    <w:name w:val="Style80"/>
    <w:basedOn w:val="Normal"/>
    <w:rsid w:val="00900886"/>
    <w:pPr>
      <w:keepNext/>
      <w:widowControl w:val="0"/>
      <w:spacing w:after="60" w:line="240" w:lineRule="auto"/>
      <w:jc w:val="center"/>
      <w:outlineLvl w:val="0"/>
    </w:pPr>
    <w:rPr>
      <w:rFonts w:ascii="Times New Roman" w:eastAsia="Times New Roman" w:hAnsi="Times New Roman" w:cs="Times New Roman"/>
      <w:i/>
      <w:iCs/>
      <w:sz w:val="21"/>
      <w:szCs w:val="21"/>
      <w:lang w:val="en-US"/>
    </w:rPr>
  </w:style>
  <w:style w:type="paragraph" w:customStyle="1" w:styleId="Style83">
    <w:name w:val="Style83"/>
    <w:basedOn w:val="Normal"/>
    <w:rsid w:val="00900886"/>
    <w:pPr>
      <w:keepNext/>
      <w:widowControl w:val="0"/>
      <w:spacing w:before="567" w:after="284" w:line="240" w:lineRule="auto"/>
      <w:jc w:val="both"/>
      <w:outlineLvl w:val="6"/>
    </w:pPr>
    <w:rPr>
      <w:rFonts w:ascii="Times New Roman" w:eastAsia="SimSun" w:hAnsi="Times New Roman" w:cs="Times New Roman"/>
      <w:b/>
      <w:bCs/>
      <w:kern w:val="2"/>
      <w:lang w:val="en-US" w:eastAsia="zh-CN"/>
    </w:rPr>
  </w:style>
  <w:style w:type="paragraph" w:styleId="BalloonText">
    <w:name w:val="Balloon Text"/>
    <w:basedOn w:val="Normal"/>
    <w:link w:val="BalloonTextChar"/>
    <w:uiPriority w:val="99"/>
    <w:semiHidden/>
    <w:unhideWhenUsed/>
    <w:rsid w:val="0090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886"/>
    <w:rPr>
      <w:rFonts w:ascii="Tahoma" w:hAnsi="Tahoma" w:cs="Tahoma"/>
      <w:sz w:val="16"/>
      <w:szCs w:val="16"/>
    </w:rPr>
  </w:style>
  <w:style w:type="paragraph" w:customStyle="1" w:styleId="Style84">
    <w:name w:val="Style84"/>
    <w:basedOn w:val="Normal"/>
    <w:rsid w:val="00900886"/>
    <w:pPr>
      <w:widowControl w:val="0"/>
      <w:spacing w:before="60" w:after="60" w:line="290" w:lineRule="atLeast"/>
      <w:ind w:firstLine="340"/>
      <w:jc w:val="both"/>
    </w:pPr>
    <w:rPr>
      <w:rFonts w:ascii="Times New Roman" w:eastAsia="Times New Roman" w:hAnsi="Times New Roman" w:cs="Times New Roman"/>
      <w:lang w:val="en-US"/>
    </w:rPr>
  </w:style>
  <w:style w:type="paragraph" w:customStyle="1" w:styleId="Style85">
    <w:name w:val="Style85"/>
    <w:basedOn w:val="Normal"/>
    <w:rsid w:val="00C00A73"/>
    <w:pPr>
      <w:widowControl w:val="0"/>
      <w:spacing w:before="260" w:after="260" w:line="240" w:lineRule="auto"/>
      <w:jc w:val="both"/>
    </w:pPr>
    <w:rPr>
      <w:rFonts w:ascii="Times New Roman" w:eastAsia="Times New Roman" w:hAnsi="Times New Roman" w:cs="Times New Roman"/>
      <w:i/>
      <w:lang w:val="de-DE"/>
    </w:rPr>
  </w:style>
  <w:style w:type="paragraph" w:styleId="NormalWeb">
    <w:name w:val="Normal (Web)"/>
    <w:basedOn w:val="Normal"/>
    <w:uiPriority w:val="99"/>
    <w:rsid w:val="00C00A73"/>
    <w:pPr>
      <w:widowControl w:val="0"/>
      <w:spacing w:before="100" w:beforeAutospacing="1" w:after="100" w:afterAutospacing="1" w:line="240" w:lineRule="auto"/>
      <w:jc w:val="both"/>
    </w:pPr>
    <w:rPr>
      <w:rFonts w:ascii="Arial Unicode MS" w:eastAsia="Arial Unicode MS" w:hAnsi="Arial Unicode MS" w:cs="Arial Unicode MS"/>
      <w:kern w:val="2"/>
      <w:sz w:val="21"/>
      <w:szCs w:val="24"/>
      <w:lang w:val="en-US" w:eastAsia="zh-CN"/>
    </w:rPr>
  </w:style>
  <w:style w:type="paragraph" w:customStyle="1" w:styleId="toanbaiF2">
    <w:name w:val="toanbai(F2)"/>
    <w:basedOn w:val="Normal"/>
    <w:rsid w:val="00C00A73"/>
    <w:pPr>
      <w:widowControl w:val="0"/>
      <w:numPr>
        <w:numId w:val="1"/>
      </w:numPr>
      <w:tabs>
        <w:tab w:val="clear" w:pos="397"/>
      </w:tabs>
      <w:spacing w:before="60" w:afterLines="60" w:line="280" w:lineRule="atLeast"/>
      <w:ind w:left="0" w:firstLine="340"/>
      <w:jc w:val="both"/>
    </w:pPr>
    <w:rPr>
      <w:rFonts w:ascii="Times New Roman" w:eastAsia="Times New Roman" w:hAnsi="Times New Roman" w:cs="Times New Roman"/>
      <w:lang w:val="en-US"/>
    </w:rPr>
  </w:style>
  <w:style w:type="paragraph" w:customStyle="1" w:styleId="Style89">
    <w:name w:val="Style89"/>
    <w:basedOn w:val="Normal"/>
    <w:rsid w:val="00C00A73"/>
    <w:pPr>
      <w:widowControl w:val="0"/>
      <w:tabs>
        <w:tab w:val="num" w:pos="720"/>
      </w:tabs>
      <w:spacing w:before="40" w:after="0" w:line="240" w:lineRule="auto"/>
      <w:ind w:left="720" w:hanging="720"/>
      <w:jc w:val="both"/>
    </w:pPr>
    <w:rPr>
      <w:rFonts w:ascii="Times New Roman" w:eastAsia="SimSun" w:hAnsi="Times New Roman" w:cs="Times New Roman"/>
      <w:kern w:val="2"/>
      <w:sz w:val="19"/>
      <w:szCs w:val="19"/>
      <w:lang w:eastAsia="zh-CN"/>
    </w:rPr>
  </w:style>
  <w:style w:type="character" w:customStyle="1" w:styleId="Bodytext315pt">
    <w:name w:val="Body text (3) + 15 pt"/>
    <w:aliases w:val="Not Italic"/>
    <w:rsid w:val="00C00A73"/>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styleId="CommentReference">
    <w:name w:val="annotation reference"/>
    <w:basedOn w:val="DefaultParagraphFont"/>
    <w:uiPriority w:val="99"/>
    <w:semiHidden/>
    <w:unhideWhenUsed/>
    <w:rsid w:val="00952D6F"/>
    <w:rPr>
      <w:sz w:val="16"/>
      <w:szCs w:val="16"/>
    </w:rPr>
  </w:style>
  <w:style w:type="paragraph" w:styleId="CommentText">
    <w:name w:val="annotation text"/>
    <w:basedOn w:val="Normal"/>
    <w:link w:val="CommentTextChar"/>
    <w:uiPriority w:val="99"/>
    <w:semiHidden/>
    <w:unhideWhenUsed/>
    <w:rsid w:val="00952D6F"/>
    <w:pPr>
      <w:spacing w:line="240" w:lineRule="auto"/>
    </w:pPr>
    <w:rPr>
      <w:sz w:val="20"/>
      <w:szCs w:val="20"/>
    </w:rPr>
  </w:style>
  <w:style w:type="character" w:customStyle="1" w:styleId="CommentTextChar">
    <w:name w:val="Comment Text Char"/>
    <w:basedOn w:val="DefaultParagraphFont"/>
    <w:link w:val="CommentText"/>
    <w:uiPriority w:val="99"/>
    <w:semiHidden/>
    <w:rsid w:val="00952D6F"/>
    <w:rPr>
      <w:sz w:val="20"/>
      <w:szCs w:val="20"/>
    </w:rPr>
  </w:style>
  <w:style w:type="paragraph" w:styleId="CommentSubject">
    <w:name w:val="annotation subject"/>
    <w:basedOn w:val="CommentText"/>
    <w:next w:val="CommentText"/>
    <w:link w:val="CommentSubjectChar"/>
    <w:uiPriority w:val="99"/>
    <w:semiHidden/>
    <w:unhideWhenUsed/>
    <w:rsid w:val="00952D6F"/>
    <w:rPr>
      <w:b/>
      <w:bCs/>
    </w:rPr>
  </w:style>
  <w:style w:type="character" w:customStyle="1" w:styleId="CommentSubjectChar">
    <w:name w:val="Comment Subject Char"/>
    <w:basedOn w:val="CommentTextChar"/>
    <w:link w:val="CommentSubject"/>
    <w:uiPriority w:val="99"/>
    <w:semiHidden/>
    <w:rsid w:val="00952D6F"/>
    <w:rPr>
      <w:b/>
      <w:bCs/>
    </w:rPr>
  </w:style>
  <w:style w:type="paragraph" w:styleId="Header">
    <w:name w:val="header"/>
    <w:basedOn w:val="Normal"/>
    <w:link w:val="HeaderChar"/>
    <w:uiPriority w:val="99"/>
    <w:semiHidden/>
    <w:unhideWhenUsed/>
    <w:rsid w:val="00C405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0593"/>
  </w:style>
  <w:style w:type="paragraph" w:styleId="Footer">
    <w:name w:val="footer"/>
    <w:basedOn w:val="Normal"/>
    <w:link w:val="FooterChar"/>
    <w:uiPriority w:val="99"/>
    <w:semiHidden/>
    <w:unhideWhenUsed/>
    <w:rsid w:val="00C405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05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hyperlink" Target="http://link.springer.com/journal/10482/67/1/page/1"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hyperlink" Target="http://link.springer.com/journal/1048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hyperlink" Target="http://www.sciencedirect.com/science/journal/014146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hyperlink" Target="http://www.sciencedirect.com/science?_ob=PublicationURL&amp;_tockey=%23TOC%235831%231991%23999749992%23417312%23FLP%23&amp;_cdi=5831&amp;_pubType=J&amp;view=c&amp;_auth=y&amp;_acct=C000050221&amp;_version=1&amp;_urlVersion=0&amp;_userid=10&amp;md5=0ffdd7a3e50a03a05eee8878cef87ed0"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hyperlink" Target="http://www.sciencedirect.com/science?_ob=PublicationURL&amp;_tockey=%23TOC%235278%232006%23999589995%23617391%23FLA%23&amp;_cdi=5278&amp;_pubType=J&amp;view=c&amp;_auth=y&amp;_acct=C000050221&amp;_version=1&amp;_urlVersion=0&amp;_userid=10&amp;md5=99a79155d33136a3fcfff78daaf078ed" TargetMode="Externa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hyperlink" Target="http://www.sciencedirect.com/science/journal/0043135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hyperlink" Target="http://www.sciencedirect.com/science/journal/13595113" TargetMode="External"/><Relationship Id="rId30" Type="http://schemas.openxmlformats.org/officeDocument/2006/relationships/hyperlink" Target="http://www.sciencedirect.com/science?_ob=PublicationURL&amp;_tockey=%23TOC%2313006%231985%23999859996%23637340%23FLP%23&amp;_cdi=13006&amp;_pubType=J&amp;view=c&amp;_auth=y&amp;_acct=C000050221&amp;_version=1&amp;_urlVersion=0&amp;_userid=10&amp;md5=6b1d749fb57a3dd31ecbc15d6102232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8CBF-6873-4DE6-AEAA-077C9552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NPCCETASD</dc:creator>
  <cp:lastModifiedBy>NPCCETASD</cp:lastModifiedBy>
  <cp:revision>2</cp:revision>
  <dcterms:created xsi:type="dcterms:W3CDTF">2018-03-19T03:58:00Z</dcterms:created>
  <dcterms:modified xsi:type="dcterms:W3CDTF">2018-03-19T03:58:00Z</dcterms:modified>
</cp:coreProperties>
</file>