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64" w:rsidRPr="005475BE" w:rsidRDefault="00BF2E64" w:rsidP="006E0358">
      <w:pPr>
        <w:spacing w:after="240" w:line="280" w:lineRule="atLeast"/>
        <w:jc w:val="center"/>
        <w:rPr>
          <w:rFonts w:ascii="Times New Roman" w:hAnsi="Times New Roman"/>
          <w:sz w:val="36"/>
          <w:szCs w:val="36"/>
        </w:rPr>
      </w:pPr>
      <w:r w:rsidRPr="00581AB7">
        <w:rPr>
          <w:rFonts w:ascii="Times New Roman" w:hAnsi="Times New Roman"/>
          <w:sz w:val="36"/>
          <w:szCs w:val="36"/>
        </w:rPr>
        <w:t xml:space="preserve">Tăng cường khả năng xử lý nước thải dệt nhuộm </w:t>
      </w:r>
      <w:r w:rsidR="00191A19">
        <w:rPr>
          <w:rFonts w:ascii="Times New Roman" w:hAnsi="Times New Roman"/>
          <w:sz w:val="36"/>
          <w:szCs w:val="36"/>
        </w:rPr>
        <w:br/>
      </w:r>
      <w:r w:rsidRPr="00581AB7">
        <w:rPr>
          <w:rFonts w:ascii="Times New Roman" w:hAnsi="Times New Roman"/>
          <w:sz w:val="36"/>
          <w:szCs w:val="36"/>
        </w:rPr>
        <w:t>của kỹ thuật bùn hoạt tính</w:t>
      </w:r>
    </w:p>
    <w:p w:rsidR="00A82B14" w:rsidRDefault="00BF2E64" w:rsidP="00A82B14">
      <w:pPr>
        <w:spacing w:after="0" w:line="280" w:lineRule="atLeast"/>
        <w:jc w:val="center"/>
        <w:rPr>
          <w:rFonts w:ascii="Times New Roman" w:hAnsi="Times New Roman"/>
          <w:sz w:val="27"/>
          <w:szCs w:val="27"/>
        </w:rPr>
      </w:pPr>
      <w:r w:rsidRPr="00581AB7">
        <w:rPr>
          <w:rFonts w:ascii="Times New Roman" w:hAnsi="Times New Roman"/>
          <w:sz w:val="27"/>
          <w:szCs w:val="27"/>
        </w:rPr>
        <w:t>Võ Thị Thanh Tâm</w:t>
      </w:r>
      <w:r w:rsidR="008E5FB0">
        <w:rPr>
          <w:rFonts w:ascii="Times New Roman" w:hAnsi="Times New Roman"/>
          <w:sz w:val="27"/>
          <w:szCs w:val="27"/>
          <w:vertAlign w:val="superscript"/>
        </w:rPr>
        <w:t>1</w:t>
      </w:r>
      <w:r w:rsidRPr="00581AB7">
        <w:rPr>
          <w:rFonts w:ascii="Times New Roman" w:hAnsi="Times New Roman"/>
          <w:sz w:val="27"/>
          <w:szCs w:val="27"/>
        </w:rPr>
        <w:t xml:space="preserve">, </w:t>
      </w:r>
      <w:r w:rsidR="00A82B14" w:rsidRPr="00581AB7">
        <w:rPr>
          <w:rFonts w:ascii="Times New Roman" w:hAnsi="Times New Roman"/>
          <w:sz w:val="27"/>
          <w:szCs w:val="27"/>
        </w:rPr>
        <w:t>Cao Thế Hà</w:t>
      </w:r>
      <w:r w:rsidR="00A82B14">
        <w:rPr>
          <w:rFonts w:ascii="Times New Roman" w:hAnsi="Times New Roman"/>
          <w:sz w:val="27"/>
          <w:szCs w:val="27"/>
          <w:vertAlign w:val="superscript"/>
        </w:rPr>
        <w:t>1</w:t>
      </w:r>
      <w:r w:rsidR="00A82B14">
        <w:rPr>
          <w:rStyle w:val="FootnoteReference"/>
          <w:rFonts w:ascii="Times New Roman" w:hAnsi="Times New Roman"/>
          <w:sz w:val="27"/>
          <w:szCs w:val="27"/>
        </w:rPr>
        <w:footnoteReference w:id="1"/>
      </w:r>
      <w:r w:rsidR="00A82B14">
        <w:rPr>
          <w:rFonts w:ascii="Times New Roman" w:hAnsi="Times New Roman"/>
          <w:sz w:val="27"/>
          <w:szCs w:val="27"/>
        </w:rPr>
        <w:softHyphen/>
        <w:t xml:space="preserve">, </w:t>
      </w:r>
      <w:r w:rsidR="00A82B14" w:rsidRPr="00581AB7">
        <w:rPr>
          <w:rFonts w:ascii="Times New Roman" w:hAnsi="Times New Roman"/>
          <w:sz w:val="27"/>
          <w:szCs w:val="27"/>
        </w:rPr>
        <w:t>Nguyễn Việt Hà</w:t>
      </w:r>
      <w:r w:rsidR="00A82B14">
        <w:rPr>
          <w:rFonts w:ascii="Times New Roman" w:hAnsi="Times New Roman"/>
          <w:sz w:val="27"/>
          <w:szCs w:val="27"/>
          <w:vertAlign w:val="superscript"/>
        </w:rPr>
        <w:t>1</w:t>
      </w:r>
      <w:r w:rsidR="00A82B14" w:rsidRPr="00581AB7">
        <w:rPr>
          <w:rFonts w:ascii="Times New Roman" w:hAnsi="Times New Roman"/>
          <w:sz w:val="27"/>
          <w:szCs w:val="27"/>
        </w:rPr>
        <w:t xml:space="preserve">, </w:t>
      </w:r>
      <w:r w:rsidRPr="00581AB7">
        <w:rPr>
          <w:rFonts w:ascii="Times New Roman" w:hAnsi="Times New Roman"/>
          <w:sz w:val="27"/>
          <w:szCs w:val="27"/>
        </w:rPr>
        <w:t>Nguyễn Trường Quân</w:t>
      </w:r>
      <w:r w:rsidR="008E5FB0">
        <w:rPr>
          <w:rFonts w:ascii="Times New Roman" w:hAnsi="Times New Roman"/>
          <w:sz w:val="27"/>
          <w:szCs w:val="27"/>
          <w:vertAlign w:val="superscript"/>
        </w:rPr>
        <w:t>1</w:t>
      </w:r>
      <w:r w:rsidR="00A82B14">
        <w:rPr>
          <w:rFonts w:ascii="Times New Roman" w:hAnsi="Times New Roman"/>
          <w:sz w:val="27"/>
          <w:szCs w:val="27"/>
          <w:vertAlign w:val="superscript"/>
        </w:rPr>
        <w:softHyphen/>
      </w:r>
      <w:r w:rsidR="00A82B14">
        <w:rPr>
          <w:rFonts w:ascii="Times New Roman" w:hAnsi="Times New Roman"/>
          <w:sz w:val="27"/>
          <w:szCs w:val="27"/>
          <w:vertAlign w:val="superscript"/>
        </w:rPr>
        <w:softHyphen/>
      </w:r>
      <w:r w:rsidR="00A82B14">
        <w:rPr>
          <w:rFonts w:ascii="Times New Roman" w:hAnsi="Times New Roman"/>
          <w:sz w:val="27"/>
          <w:szCs w:val="27"/>
        </w:rPr>
        <w:t xml:space="preserve">, </w:t>
      </w:r>
    </w:p>
    <w:p w:rsidR="00BF2E64" w:rsidRPr="00A82B14" w:rsidRDefault="00A82B14" w:rsidP="00A82B14">
      <w:pPr>
        <w:spacing w:after="0" w:line="280" w:lineRule="atLeast"/>
        <w:jc w:val="center"/>
        <w:rPr>
          <w:rFonts w:ascii="Times New Roman" w:hAnsi="Times New Roman"/>
          <w:sz w:val="27"/>
          <w:szCs w:val="27"/>
          <w:vertAlign w:val="superscript"/>
        </w:rPr>
      </w:pPr>
      <w:r w:rsidRPr="00581AB7">
        <w:rPr>
          <w:rFonts w:ascii="Times New Roman" w:hAnsi="Times New Roman"/>
          <w:sz w:val="27"/>
          <w:szCs w:val="27"/>
        </w:rPr>
        <w:t>Vũ Ngọc Duy</w:t>
      </w:r>
      <w:r>
        <w:rPr>
          <w:rFonts w:ascii="Times New Roman" w:hAnsi="Times New Roman"/>
          <w:sz w:val="27"/>
          <w:szCs w:val="27"/>
          <w:vertAlign w:val="superscript"/>
        </w:rPr>
        <w:t>2</w:t>
      </w:r>
      <w:r w:rsidRPr="00581AB7">
        <w:rPr>
          <w:rFonts w:ascii="Times New Roman" w:hAnsi="Times New Roman"/>
          <w:sz w:val="27"/>
          <w:szCs w:val="27"/>
        </w:rPr>
        <w:t>,</w:t>
      </w:r>
      <w:r>
        <w:rPr>
          <w:rFonts w:ascii="Times New Roman" w:hAnsi="Times New Roman"/>
          <w:sz w:val="27"/>
          <w:szCs w:val="27"/>
        </w:rPr>
        <w:t xml:space="preserve"> Lê Văn Chiều</w:t>
      </w:r>
      <w:r>
        <w:rPr>
          <w:rFonts w:ascii="Times New Roman" w:hAnsi="Times New Roman"/>
          <w:sz w:val="27"/>
          <w:szCs w:val="27"/>
          <w:vertAlign w:val="superscript"/>
        </w:rPr>
        <w:t>3</w:t>
      </w:r>
    </w:p>
    <w:p w:rsidR="00BF2E64" w:rsidRPr="00581AB7" w:rsidRDefault="008E5FB0" w:rsidP="005475BE">
      <w:pPr>
        <w:tabs>
          <w:tab w:val="left" w:pos="426"/>
          <w:tab w:val="left" w:pos="10348"/>
        </w:tabs>
        <w:spacing w:before="120" w:after="0" w:line="280" w:lineRule="atLeast"/>
        <w:ind w:right="-28"/>
        <w:jc w:val="center"/>
        <w:rPr>
          <w:rFonts w:ascii="Times New Roman" w:hAnsi="Times New Roman"/>
          <w:i/>
          <w:sz w:val="21"/>
          <w:szCs w:val="21"/>
        </w:rPr>
      </w:pPr>
      <w:r>
        <w:rPr>
          <w:rFonts w:ascii="Times New Roman" w:hAnsi="Times New Roman"/>
          <w:i/>
          <w:sz w:val="21"/>
          <w:szCs w:val="21"/>
          <w:vertAlign w:val="superscript"/>
        </w:rPr>
        <w:t>1</w:t>
      </w:r>
      <w:r w:rsidR="00BF2E64" w:rsidRPr="00581AB7">
        <w:rPr>
          <w:rFonts w:ascii="Times New Roman" w:hAnsi="Times New Roman"/>
          <w:i/>
          <w:sz w:val="21"/>
          <w:szCs w:val="21"/>
        </w:rPr>
        <w:t>Trung tâm Nghiên cứu Công nghệ Môi trường và Phát triển Bền vững (CETASD),</w:t>
      </w:r>
    </w:p>
    <w:p w:rsidR="00BF2E64" w:rsidRDefault="00BF2E64" w:rsidP="005475BE">
      <w:pPr>
        <w:tabs>
          <w:tab w:val="left" w:pos="10348"/>
        </w:tabs>
        <w:spacing w:after="0" w:line="280" w:lineRule="atLeast"/>
        <w:ind w:right="-29"/>
        <w:jc w:val="center"/>
        <w:rPr>
          <w:rFonts w:ascii="Times New Roman" w:hAnsi="Times New Roman"/>
          <w:i/>
          <w:sz w:val="21"/>
          <w:szCs w:val="21"/>
        </w:rPr>
      </w:pPr>
      <w:r w:rsidRPr="00581AB7">
        <w:rPr>
          <w:rFonts w:ascii="Times New Roman" w:hAnsi="Times New Roman"/>
          <w:i/>
          <w:sz w:val="21"/>
          <w:szCs w:val="21"/>
        </w:rPr>
        <w:t>Trường Đại học Khoa học Tự nhiên, Đại học Quốc gia Hà Nội</w:t>
      </w:r>
    </w:p>
    <w:p w:rsidR="008E5FB0" w:rsidRDefault="008E5FB0" w:rsidP="005475BE">
      <w:pPr>
        <w:tabs>
          <w:tab w:val="left" w:pos="10348"/>
        </w:tabs>
        <w:spacing w:after="0" w:line="280" w:lineRule="atLeast"/>
        <w:ind w:right="-29"/>
        <w:jc w:val="center"/>
        <w:rPr>
          <w:rFonts w:ascii="Times New Roman" w:hAnsi="Times New Roman"/>
          <w:i/>
          <w:sz w:val="21"/>
          <w:szCs w:val="21"/>
        </w:rPr>
      </w:pPr>
      <w:r>
        <w:rPr>
          <w:rFonts w:ascii="Times New Roman" w:hAnsi="Times New Roman"/>
          <w:i/>
          <w:sz w:val="21"/>
          <w:szCs w:val="21"/>
          <w:vertAlign w:val="superscript"/>
        </w:rPr>
        <w:t>2</w:t>
      </w:r>
      <w:r>
        <w:rPr>
          <w:rFonts w:ascii="Times New Roman" w:hAnsi="Times New Roman"/>
          <w:i/>
          <w:sz w:val="21"/>
          <w:szCs w:val="21"/>
        </w:rPr>
        <w:t xml:space="preserve">Khoa Hóa học, </w:t>
      </w:r>
      <w:r w:rsidRPr="00581AB7">
        <w:rPr>
          <w:rFonts w:ascii="Times New Roman" w:hAnsi="Times New Roman"/>
          <w:i/>
          <w:sz w:val="21"/>
          <w:szCs w:val="21"/>
        </w:rPr>
        <w:t>Trường Đại học Khoa học Tự nhiên, Đại học Quốc gia Hà Nội</w:t>
      </w:r>
    </w:p>
    <w:p w:rsidR="00A82B14" w:rsidRPr="00A82B14" w:rsidRDefault="00A82B14" w:rsidP="00A82B14">
      <w:pPr>
        <w:tabs>
          <w:tab w:val="left" w:pos="10348"/>
        </w:tabs>
        <w:spacing w:after="0" w:line="280" w:lineRule="atLeast"/>
        <w:ind w:right="-29"/>
        <w:jc w:val="center"/>
        <w:rPr>
          <w:rFonts w:ascii="Times New Roman" w:hAnsi="Times New Roman"/>
          <w:i/>
          <w:sz w:val="21"/>
          <w:szCs w:val="21"/>
        </w:rPr>
      </w:pPr>
      <w:r w:rsidRPr="00A82B14">
        <w:rPr>
          <w:rFonts w:ascii="Times New Roman" w:hAnsi="Times New Roman"/>
          <w:i/>
          <w:sz w:val="21"/>
          <w:szCs w:val="21"/>
        </w:rPr>
        <w:t>(3) Ban quản lý các dự án – Đại học Quốc gia Hà Nội</w:t>
      </w:r>
    </w:p>
    <w:p w:rsidR="00A82B14" w:rsidRPr="00581AB7" w:rsidRDefault="00A82B14" w:rsidP="005475BE">
      <w:pPr>
        <w:tabs>
          <w:tab w:val="left" w:pos="10348"/>
        </w:tabs>
        <w:spacing w:after="0" w:line="280" w:lineRule="atLeast"/>
        <w:ind w:right="-29"/>
        <w:jc w:val="center"/>
        <w:rPr>
          <w:rFonts w:ascii="Times New Roman" w:hAnsi="Times New Roman"/>
          <w:i/>
          <w:sz w:val="21"/>
          <w:szCs w:val="21"/>
        </w:rPr>
      </w:pPr>
    </w:p>
    <w:p w:rsidR="008676ED" w:rsidRPr="00C266BF" w:rsidRDefault="00D7720B" w:rsidP="0083442A">
      <w:pPr>
        <w:spacing w:before="120" w:after="60" w:line="280" w:lineRule="atLeast"/>
        <w:ind w:left="357" w:right="357"/>
        <w:jc w:val="both"/>
        <w:rPr>
          <w:rFonts w:ascii="Times New Roman" w:hAnsi="Times New Roman"/>
          <w:bCs/>
          <w:sz w:val="20"/>
          <w:szCs w:val="20"/>
        </w:rPr>
      </w:pPr>
      <w:r w:rsidRPr="00C266BF">
        <w:rPr>
          <w:rFonts w:ascii="Times New Roman" w:hAnsi="Times New Roman"/>
          <w:b/>
          <w:bCs/>
          <w:i/>
          <w:sz w:val="20"/>
          <w:szCs w:val="20"/>
        </w:rPr>
        <w:t>Tóm tắt</w:t>
      </w:r>
      <w:r w:rsidR="005475BE">
        <w:rPr>
          <w:rFonts w:ascii="Times New Roman" w:hAnsi="Times New Roman"/>
          <w:b/>
          <w:bCs/>
          <w:i/>
          <w:sz w:val="20"/>
          <w:szCs w:val="20"/>
        </w:rPr>
        <w:t>.</w:t>
      </w:r>
      <w:r w:rsidR="00CC1B28">
        <w:rPr>
          <w:rFonts w:ascii="Times New Roman" w:hAnsi="Times New Roman"/>
          <w:b/>
          <w:bCs/>
          <w:i/>
          <w:sz w:val="20"/>
          <w:szCs w:val="20"/>
        </w:rPr>
        <w:t xml:space="preserve"> </w:t>
      </w:r>
      <w:r w:rsidR="004D0DB3" w:rsidRPr="00C266BF">
        <w:rPr>
          <w:rFonts w:ascii="Times New Roman" w:hAnsi="Times New Roman"/>
          <w:bCs/>
          <w:sz w:val="20"/>
          <w:szCs w:val="20"/>
        </w:rPr>
        <w:t xml:space="preserve">Ở Việt Nam, </w:t>
      </w:r>
      <w:r w:rsidR="001D7491" w:rsidRPr="00C266BF">
        <w:rPr>
          <w:rFonts w:ascii="Times New Roman" w:hAnsi="Times New Roman"/>
          <w:bCs/>
          <w:sz w:val="20"/>
          <w:szCs w:val="20"/>
        </w:rPr>
        <w:t xml:space="preserve">nước thải dệt nhuộm có nhiều </w:t>
      </w:r>
      <w:r w:rsidR="008676ED" w:rsidRPr="00C266BF">
        <w:rPr>
          <w:rFonts w:ascii="Times New Roman" w:hAnsi="Times New Roman"/>
          <w:bCs/>
          <w:sz w:val="20"/>
          <w:szCs w:val="20"/>
        </w:rPr>
        <w:t xml:space="preserve">công nghệ xử </w:t>
      </w:r>
      <w:r w:rsidR="00BF32F7" w:rsidRPr="00C266BF">
        <w:rPr>
          <w:rFonts w:ascii="Times New Roman" w:hAnsi="Times New Roman"/>
          <w:bCs/>
          <w:sz w:val="20"/>
          <w:szCs w:val="20"/>
        </w:rPr>
        <w:t>lý. Và</w:t>
      </w:r>
      <w:r w:rsidR="008676ED" w:rsidRPr="00C266BF">
        <w:rPr>
          <w:rFonts w:ascii="Times New Roman" w:hAnsi="Times New Roman"/>
          <w:bCs/>
          <w:sz w:val="20"/>
          <w:szCs w:val="20"/>
        </w:rPr>
        <w:t xml:space="preserve"> hầu hết các công nghệ này, bước xử lý sinh học </w:t>
      </w:r>
      <w:r w:rsidR="001D7491" w:rsidRPr="00C266BF">
        <w:rPr>
          <w:rFonts w:ascii="Times New Roman" w:hAnsi="Times New Roman"/>
          <w:bCs/>
          <w:sz w:val="20"/>
          <w:szCs w:val="20"/>
        </w:rPr>
        <w:t>được sử dụng rộng rãi do tính sinh thái và kinh tế của nó</w:t>
      </w:r>
      <w:r w:rsidR="00A903C4" w:rsidRPr="00C266BF">
        <w:rPr>
          <w:rFonts w:ascii="Times New Roman" w:hAnsi="Times New Roman"/>
          <w:bCs/>
          <w:sz w:val="20"/>
          <w:szCs w:val="20"/>
        </w:rPr>
        <w:t xml:space="preserve">. </w:t>
      </w:r>
      <w:r w:rsidR="001D7491" w:rsidRPr="00C266BF">
        <w:rPr>
          <w:rFonts w:ascii="Times New Roman" w:hAnsi="Times New Roman"/>
          <w:bCs/>
          <w:sz w:val="20"/>
          <w:szCs w:val="20"/>
        </w:rPr>
        <w:t xml:space="preserve">Tuy nhiên, </w:t>
      </w:r>
      <w:r w:rsidR="008676ED" w:rsidRPr="00C266BF">
        <w:rPr>
          <w:rFonts w:ascii="Times New Roman" w:hAnsi="Times New Roman"/>
          <w:bCs/>
          <w:sz w:val="20"/>
          <w:szCs w:val="20"/>
        </w:rPr>
        <w:t>bước xử lý</w:t>
      </w:r>
      <w:r w:rsidR="001D7491" w:rsidRPr="00C266BF">
        <w:rPr>
          <w:rFonts w:ascii="Times New Roman" w:hAnsi="Times New Roman"/>
          <w:bCs/>
          <w:sz w:val="20"/>
          <w:szCs w:val="20"/>
        </w:rPr>
        <w:t xml:space="preserve"> sinh </w:t>
      </w:r>
      <w:r w:rsidR="00BF32F7" w:rsidRPr="00C266BF">
        <w:rPr>
          <w:rFonts w:ascii="Times New Roman" w:hAnsi="Times New Roman"/>
          <w:bCs/>
          <w:sz w:val="20"/>
          <w:szCs w:val="20"/>
        </w:rPr>
        <w:t>học này</w:t>
      </w:r>
      <w:r w:rsidR="008676ED" w:rsidRPr="00C266BF">
        <w:rPr>
          <w:rFonts w:ascii="Times New Roman" w:hAnsi="Times New Roman"/>
          <w:bCs/>
          <w:sz w:val="20"/>
          <w:szCs w:val="20"/>
        </w:rPr>
        <w:t xml:space="preserve"> </w:t>
      </w:r>
      <w:r w:rsidR="001D7491" w:rsidRPr="00C266BF">
        <w:rPr>
          <w:rFonts w:ascii="Times New Roman" w:hAnsi="Times New Roman"/>
          <w:bCs/>
          <w:sz w:val="20"/>
          <w:szCs w:val="20"/>
        </w:rPr>
        <w:t xml:space="preserve">thường không hiệu quả do vi sinh bị ức chế </w:t>
      </w:r>
      <w:r w:rsidR="00C00BB7" w:rsidRPr="00C266BF">
        <w:rPr>
          <w:rFonts w:ascii="Times New Roman" w:hAnsi="Times New Roman"/>
          <w:bCs/>
          <w:sz w:val="20"/>
          <w:szCs w:val="20"/>
        </w:rPr>
        <w:t>bởi</w:t>
      </w:r>
      <w:r w:rsidR="001D7491" w:rsidRPr="00C266BF">
        <w:rPr>
          <w:rFonts w:ascii="Times New Roman" w:hAnsi="Times New Roman"/>
          <w:bCs/>
          <w:sz w:val="20"/>
          <w:szCs w:val="20"/>
        </w:rPr>
        <w:t xml:space="preserve"> các hóa chất </w:t>
      </w:r>
      <w:r w:rsidR="00C00BB7" w:rsidRPr="00C266BF">
        <w:rPr>
          <w:rFonts w:ascii="Times New Roman" w:hAnsi="Times New Roman"/>
          <w:bCs/>
          <w:sz w:val="20"/>
          <w:szCs w:val="20"/>
        </w:rPr>
        <w:t xml:space="preserve">nhuộm </w:t>
      </w:r>
      <w:r w:rsidR="001D7491" w:rsidRPr="00C266BF">
        <w:rPr>
          <w:rFonts w:ascii="Times New Roman" w:hAnsi="Times New Roman"/>
          <w:bCs/>
          <w:sz w:val="20"/>
          <w:szCs w:val="20"/>
        </w:rPr>
        <w:t>nhân tạo</w:t>
      </w:r>
      <w:r w:rsidR="00A903C4" w:rsidRPr="00C266BF">
        <w:rPr>
          <w:rFonts w:ascii="Times New Roman" w:hAnsi="Times New Roman"/>
          <w:bCs/>
          <w:sz w:val="20"/>
          <w:szCs w:val="20"/>
        </w:rPr>
        <w:t xml:space="preserve"> rất bền, thậm chí độc</w:t>
      </w:r>
      <w:r w:rsidR="001E36FA" w:rsidRPr="00C266BF">
        <w:rPr>
          <w:rFonts w:ascii="Times New Roman" w:hAnsi="Times New Roman"/>
          <w:bCs/>
          <w:sz w:val="20"/>
          <w:szCs w:val="20"/>
        </w:rPr>
        <w:t>.</w:t>
      </w:r>
      <w:r w:rsidR="00027E94" w:rsidRPr="00C266BF">
        <w:rPr>
          <w:rFonts w:ascii="Times New Roman" w:hAnsi="Times New Roman"/>
          <w:bCs/>
          <w:sz w:val="20"/>
          <w:szCs w:val="20"/>
        </w:rPr>
        <w:t xml:space="preserve"> Nhằm giải quyết </w:t>
      </w:r>
      <w:r w:rsidR="003A1A93" w:rsidRPr="00C266BF">
        <w:rPr>
          <w:rFonts w:ascii="Times New Roman" w:hAnsi="Times New Roman"/>
          <w:bCs/>
          <w:sz w:val="20"/>
          <w:szCs w:val="20"/>
        </w:rPr>
        <w:t>vấn đề này</w:t>
      </w:r>
      <w:r w:rsidR="00027E94" w:rsidRPr="00C266BF">
        <w:rPr>
          <w:rFonts w:ascii="Times New Roman" w:hAnsi="Times New Roman"/>
          <w:bCs/>
          <w:sz w:val="20"/>
          <w:szCs w:val="20"/>
        </w:rPr>
        <w:t xml:space="preserve">, than hoạt tính dạng </w:t>
      </w:r>
      <w:r w:rsidR="00BF32F7" w:rsidRPr="00C266BF">
        <w:rPr>
          <w:rFonts w:ascii="Times New Roman" w:hAnsi="Times New Roman"/>
          <w:bCs/>
          <w:sz w:val="20"/>
          <w:szCs w:val="20"/>
        </w:rPr>
        <w:t>bột được</w:t>
      </w:r>
      <w:r w:rsidR="00BD1D3B" w:rsidRPr="00C266BF">
        <w:rPr>
          <w:rFonts w:ascii="Times New Roman" w:hAnsi="Times New Roman"/>
          <w:bCs/>
          <w:sz w:val="20"/>
          <w:szCs w:val="20"/>
        </w:rPr>
        <w:t xml:space="preserve"> bổ sung nhằm tăng cường khả năng tiếp xúc của cơ chất với bùn hoạt tính</w:t>
      </w:r>
      <w:r w:rsidR="00BF32F7">
        <w:rPr>
          <w:rFonts w:ascii="Times New Roman" w:hAnsi="Times New Roman"/>
          <w:bCs/>
          <w:sz w:val="20"/>
          <w:szCs w:val="20"/>
        </w:rPr>
        <w:t xml:space="preserve"> </w:t>
      </w:r>
      <w:r w:rsidR="00BD1D3B" w:rsidRPr="00C266BF">
        <w:rPr>
          <w:rFonts w:ascii="Times New Roman" w:hAnsi="Times New Roman"/>
          <w:bCs/>
          <w:sz w:val="20"/>
          <w:szCs w:val="20"/>
        </w:rPr>
        <w:t>ở bước</w:t>
      </w:r>
      <w:r w:rsidR="00C00BB7" w:rsidRPr="00C266BF">
        <w:rPr>
          <w:rFonts w:ascii="Times New Roman" w:hAnsi="Times New Roman"/>
          <w:bCs/>
          <w:sz w:val="20"/>
          <w:szCs w:val="20"/>
        </w:rPr>
        <w:t xml:space="preserve"> xử lý vi sinh</w:t>
      </w:r>
      <w:r w:rsidR="00027E94" w:rsidRPr="00C266BF">
        <w:rPr>
          <w:rFonts w:ascii="Times New Roman" w:hAnsi="Times New Roman"/>
          <w:bCs/>
          <w:sz w:val="20"/>
          <w:szCs w:val="20"/>
        </w:rPr>
        <w:t>.</w:t>
      </w:r>
      <w:r w:rsidR="00C00BB7" w:rsidRPr="00C266BF">
        <w:rPr>
          <w:rFonts w:ascii="Times New Roman" w:hAnsi="Times New Roman"/>
          <w:bCs/>
          <w:sz w:val="20"/>
          <w:szCs w:val="20"/>
        </w:rPr>
        <w:t xml:space="preserve"> Kết </w:t>
      </w:r>
      <w:r w:rsidR="00BF32F7" w:rsidRPr="00C266BF">
        <w:rPr>
          <w:rFonts w:ascii="Times New Roman" w:hAnsi="Times New Roman"/>
          <w:bCs/>
          <w:sz w:val="20"/>
          <w:szCs w:val="20"/>
        </w:rPr>
        <w:t>quả cho</w:t>
      </w:r>
      <w:r w:rsidR="00C00BB7" w:rsidRPr="00C266BF">
        <w:rPr>
          <w:rFonts w:ascii="Times New Roman" w:hAnsi="Times New Roman"/>
          <w:bCs/>
          <w:sz w:val="20"/>
          <w:szCs w:val="20"/>
        </w:rPr>
        <w:t xml:space="preserve"> thấy hệ </w:t>
      </w:r>
      <w:r w:rsidR="008676ED" w:rsidRPr="00C266BF">
        <w:rPr>
          <w:rFonts w:ascii="Times New Roman" w:hAnsi="Times New Roman"/>
          <w:bCs/>
          <w:sz w:val="20"/>
          <w:szCs w:val="20"/>
        </w:rPr>
        <w:t>bùn hoạt tính</w:t>
      </w:r>
      <w:r w:rsidR="00C00BB7" w:rsidRPr="00C266BF">
        <w:rPr>
          <w:rFonts w:ascii="Times New Roman" w:hAnsi="Times New Roman"/>
          <w:bCs/>
          <w:sz w:val="20"/>
          <w:szCs w:val="20"/>
        </w:rPr>
        <w:t xml:space="preserve"> có bổ sung than hoạt tính dạng bột không bị ức chế, sinh khối phát triển rất tốt so với hệ </w:t>
      </w:r>
      <w:r w:rsidR="008676ED" w:rsidRPr="00C266BF">
        <w:rPr>
          <w:rFonts w:ascii="Times New Roman" w:hAnsi="Times New Roman"/>
          <w:bCs/>
          <w:sz w:val="20"/>
          <w:szCs w:val="20"/>
        </w:rPr>
        <w:t xml:space="preserve">bùn hoạt tính </w:t>
      </w:r>
      <w:r w:rsidR="00C00BB7" w:rsidRPr="00C266BF">
        <w:rPr>
          <w:rFonts w:ascii="Times New Roman" w:hAnsi="Times New Roman"/>
          <w:bCs/>
          <w:sz w:val="20"/>
          <w:szCs w:val="20"/>
        </w:rPr>
        <w:t xml:space="preserve">không bổ sung than hoạt tính. Giá trị COD trong nước thải </w:t>
      </w:r>
      <w:r w:rsidR="008676ED" w:rsidRPr="00C266BF">
        <w:rPr>
          <w:rFonts w:ascii="Times New Roman" w:hAnsi="Times New Roman"/>
          <w:bCs/>
          <w:sz w:val="20"/>
          <w:szCs w:val="20"/>
        </w:rPr>
        <w:t>sau</w:t>
      </w:r>
      <w:r w:rsidR="00C00BB7" w:rsidRPr="00C266BF">
        <w:rPr>
          <w:rFonts w:ascii="Times New Roman" w:hAnsi="Times New Roman"/>
          <w:bCs/>
          <w:sz w:val="20"/>
          <w:szCs w:val="20"/>
        </w:rPr>
        <w:t xml:space="preserve"> xử lý </w:t>
      </w:r>
      <w:r w:rsidR="004D46B5" w:rsidRPr="00C266BF">
        <w:rPr>
          <w:rFonts w:ascii="Times New Roman" w:hAnsi="Times New Roman"/>
          <w:bCs/>
          <w:sz w:val="20"/>
          <w:szCs w:val="20"/>
        </w:rPr>
        <w:t xml:space="preserve">bởi hệ có bổ sung than hoạt tính </w:t>
      </w:r>
      <w:r w:rsidR="008676ED" w:rsidRPr="00C266BF">
        <w:rPr>
          <w:rFonts w:ascii="Times New Roman" w:hAnsi="Times New Roman"/>
          <w:bCs/>
          <w:sz w:val="20"/>
          <w:szCs w:val="20"/>
        </w:rPr>
        <w:t>dao động quanh giá trị COD được quy định trong</w:t>
      </w:r>
      <w:r w:rsidR="007E5704">
        <w:rPr>
          <w:rFonts w:ascii="Times New Roman" w:hAnsi="Times New Roman"/>
          <w:bCs/>
          <w:sz w:val="20"/>
          <w:szCs w:val="20"/>
        </w:rPr>
        <w:t xml:space="preserve"> QCVN 13-MT:2015/BTNMT (B), </w:t>
      </w:r>
      <w:r w:rsidR="008676ED" w:rsidRPr="00C266BF">
        <w:rPr>
          <w:rFonts w:ascii="Times New Roman" w:hAnsi="Times New Roman"/>
          <w:bCs/>
          <w:sz w:val="20"/>
          <w:szCs w:val="20"/>
        </w:rPr>
        <w:t xml:space="preserve">trong khi giá trị COD trong nước thải sau xử lý xử lý bởi hệ không bổ sung than hoạt tính cao hơn </w:t>
      </w:r>
      <w:r w:rsidR="007E5704">
        <w:rPr>
          <w:rFonts w:ascii="Times New Roman" w:hAnsi="Times New Roman"/>
          <w:bCs/>
          <w:sz w:val="20"/>
          <w:szCs w:val="20"/>
        </w:rPr>
        <w:t>QCVN 13-MT:2015/BTNMT (B)</w:t>
      </w:r>
      <w:r w:rsidR="008676ED" w:rsidRPr="00C266BF">
        <w:rPr>
          <w:rFonts w:ascii="Times New Roman" w:hAnsi="Times New Roman"/>
          <w:bCs/>
          <w:sz w:val="20"/>
          <w:szCs w:val="20"/>
        </w:rPr>
        <w:t xml:space="preserve"> từ 1,85 – 2,33 lần.</w:t>
      </w:r>
    </w:p>
    <w:p w:rsidR="00C266BF" w:rsidRPr="005475BE" w:rsidRDefault="00D7720B" w:rsidP="0083442A">
      <w:pPr>
        <w:spacing w:before="60" w:after="120" w:line="280" w:lineRule="atLeast"/>
        <w:ind w:left="357" w:right="357"/>
        <w:jc w:val="both"/>
        <w:rPr>
          <w:rFonts w:ascii="Times New Roman" w:hAnsi="Times New Roman"/>
          <w:sz w:val="20"/>
          <w:szCs w:val="20"/>
        </w:rPr>
      </w:pPr>
      <w:r w:rsidRPr="005475BE">
        <w:rPr>
          <w:rFonts w:ascii="Times New Roman" w:hAnsi="Times New Roman"/>
          <w:i/>
          <w:sz w:val="20"/>
          <w:szCs w:val="20"/>
        </w:rPr>
        <w:t>Từ khóa:</w:t>
      </w:r>
      <w:r w:rsidR="005475BE">
        <w:rPr>
          <w:rFonts w:ascii="Times New Roman" w:hAnsi="Times New Roman"/>
          <w:b/>
          <w:i/>
          <w:sz w:val="20"/>
          <w:szCs w:val="20"/>
        </w:rPr>
        <w:t xml:space="preserve"> </w:t>
      </w:r>
      <w:r w:rsidR="00A22F0B" w:rsidRPr="00C266BF">
        <w:rPr>
          <w:rFonts w:ascii="Times New Roman" w:hAnsi="Times New Roman"/>
          <w:sz w:val="20"/>
          <w:szCs w:val="20"/>
        </w:rPr>
        <w:t xml:space="preserve">Nước thải dệt nhuộm, </w:t>
      </w:r>
      <w:r w:rsidR="00BD1D3B" w:rsidRPr="00C266BF">
        <w:rPr>
          <w:rFonts w:ascii="Times New Roman" w:hAnsi="Times New Roman"/>
          <w:sz w:val="20"/>
          <w:szCs w:val="20"/>
        </w:rPr>
        <w:t>bùn hoạt tính</w:t>
      </w:r>
      <w:r w:rsidR="0085148C" w:rsidRPr="00C266BF">
        <w:rPr>
          <w:rFonts w:ascii="Times New Roman" w:hAnsi="Times New Roman"/>
          <w:sz w:val="20"/>
          <w:szCs w:val="20"/>
        </w:rPr>
        <w:t>, than hoạt tính</w:t>
      </w:r>
      <w:r w:rsidR="00A22F0B" w:rsidRPr="00C266BF">
        <w:rPr>
          <w:rFonts w:ascii="Times New Roman" w:hAnsi="Times New Roman"/>
          <w:sz w:val="20"/>
          <w:szCs w:val="20"/>
        </w:rPr>
        <w:t>.</w:t>
      </w:r>
    </w:p>
    <w:p w:rsidR="00D7720B" w:rsidRPr="00E12314" w:rsidRDefault="00D7720B" w:rsidP="00461B08">
      <w:pPr>
        <w:spacing w:before="360" w:after="120" w:line="280" w:lineRule="atLeast"/>
        <w:ind w:left="284" w:hanging="284"/>
        <w:jc w:val="both"/>
        <w:rPr>
          <w:rFonts w:ascii="Times New Roman" w:hAnsi="Times New Roman"/>
          <w:b/>
        </w:rPr>
      </w:pPr>
      <w:r w:rsidRPr="00E12314">
        <w:rPr>
          <w:rFonts w:ascii="Times New Roman" w:hAnsi="Times New Roman"/>
          <w:b/>
        </w:rPr>
        <w:t>1. Đặt vấn đề</w:t>
      </w:r>
    </w:p>
    <w:p w:rsidR="00E54583" w:rsidRPr="00E12314" w:rsidRDefault="00E54583" w:rsidP="00AC2B9E">
      <w:pPr>
        <w:spacing w:before="60" w:after="60" w:line="300" w:lineRule="atLeast"/>
        <w:ind w:firstLine="425"/>
        <w:jc w:val="both"/>
        <w:rPr>
          <w:rFonts w:ascii="Times New Roman" w:hAnsi="Times New Roman"/>
        </w:rPr>
      </w:pPr>
      <w:bookmarkStart w:id="0" w:name="_Toc336121654"/>
      <w:r w:rsidRPr="00E12314">
        <w:rPr>
          <w:rFonts w:ascii="Times New Roman" w:hAnsi="Times New Roman"/>
        </w:rPr>
        <w:t>Dệt may là một ngành công nghiệp quan trọng</w:t>
      </w:r>
      <w:r w:rsidR="007E5704">
        <w:rPr>
          <w:rFonts w:ascii="Times New Roman" w:hAnsi="Times New Roman"/>
        </w:rPr>
        <w:t xml:space="preserve"> ở Việt Nam</w:t>
      </w:r>
      <w:r w:rsidRPr="00E12314">
        <w:rPr>
          <w:rFonts w:ascii="Times New Roman" w:hAnsi="Times New Roman"/>
        </w:rPr>
        <w:t xml:space="preserve">. </w:t>
      </w:r>
      <w:r>
        <w:rPr>
          <w:rFonts w:ascii="Times New Roman" w:hAnsi="Times New Roman"/>
        </w:rPr>
        <w:t>Đây cũng là một trong những ngành c</w:t>
      </w:r>
      <w:r w:rsidR="00D5174F">
        <w:rPr>
          <w:rFonts w:ascii="Times New Roman" w:hAnsi="Times New Roman"/>
        </w:rPr>
        <w:t xml:space="preserve">ó khối lượng nước thải rất lớn. </w:t>
      </w:r>
      <w:r>
        <w:rPr>
          <w:rFonts w:ascii="Times New Roman" w:hAnsi="Times New Roman"/>
        </w:rPr>
        <w:t>Nguồn n</w:t>
      </w:r>
      <w:r w:rsidRPr="00E12314">
        <w:rPr>
          <w:rFonts w:ascii="Times New Roman" w:hAnsi="Times New Roman"/>
        </w:rPr>
        <w:t xml:space="preserve">ước thải này nếu không được xử lý sẽ gây ra ô nhiễm môi trường nghiêm trọng do </w:t>
      </w:r>
      <w:r>
        <w:rPr>
          <w:rFonts w:ascii="Times New Roman" w:hAnsi="Times New Roman"/>
        </w:rPr>
        <w:t xml:space="preserve">các chất màu có </w:t>
      </w:r>
      <w:r w:rsidR="00D5174F">
        <w:rPr>
          <w:rFonts w:ascii="Times New Roman" w:hAnsi="Times New Roman"/>
        </w:rPr>
        <w:t>đặc tính</w:t>
      </w:r>
      <w:r w:rsidRPr="00E12314">
        <w:rPr>
          <w:rFonts w:ascii="Times New Roman" w:hAnsi="Times New Roman"/>
        </w:rPr>
        <w:t xml:space="preserve"> bền, cường độ màu lớn</w:t>
      </w:r>
      <w:r>
        <w:rPr>
          <w:rFonts w:ascii="Times New Roman" w:hAnsi="Times New Roman"/>
        </w:rPr>
        <w:t>, có khả năng</w:t>
      </w:r>
      <w:r w:rsidRPr="00E12314">
        <w:rPr>
          <w:rFonts w:ascii="Times New Roman" w:hAnsi="Times New Roman"/>
        </w:rPr>
        <w:t xml:space="preserve"> gây độc </w:t>
      </w:r>
      <w:r>
        <w:rPr>
          <w:rFonts w:ascii="Times New Roman" w:hAnsi="Times New Roman"/>
        </w:rPr>
        <w:t xml:space="preserve">cho </w:t>
      </w:r>
      <w:r w:rsidRPr="00E12314">
        <w:rPr>
          <w:rFonts w:ascii="Times New Roman" w:hAnsi="Times New Roman"/>
        </w:rPr>
        <w:t xml:space="preserve"> con người và môi trường sinh thái. Hiện </w:t>
      </w:r>
      <w:r>
        <w:rPr>
          <w:rFonts w:ascii="Times New Roman" w:hAnsi="Times New Roman"/>
        </w:rPr>
        <w:t xml:space="preserve">nay, </w:t>
      </w:r>
      <w:r w:rsidRPr="00E12314">
        <w:rPr>
          <w:rFonts w:ascii="Times New Roman" w:hAnsi="Times New Roman"/>
        </w:rPr>
        <w:t xml:space="preserve">nhiều phương pháp xử lý đã được nghiên cứu và chia làm các nhóm phương pháp như: hóa lý (hấp phụ, keo tụ, tuyển nổi), </w:t>
      </w:r>
      <w:r w:rsidR="00BF32F7" w:rsidRPr="00E12314">
        <w:rPr>
          <w:rFonts w:ascii="Times New Roman" w:hAnsi="Times New Roman"/>
        </w:rPr>
        <w:t>oxi</w:t>
      </w:r>
      <w:r w:rsidRPr="00E12314">
        <w:rPr>
          <w:rFonts w:ascii="Times New Roman" w:hAnsi="Times New Roman"/>
        </w:rPr>
        <w:t xml:space="preserve"> hóa hóa học, </w:t>
      </w:r>
      <w:r w:rsidR="00BF32F7" w:rsidRPr="00E12314">
        <w:rPr>
          <w:rFonts w:ascii="Times New Roman" w:hAnsi="Times New Roman"/>
        </w:rPr>
        <w:t>oxi</w:t>
      </w:r>
      <w:r w:rsidRPr="00E12314">
        <w:rPr>
          <w:rFonts w:ascii="Times New Roman" w:hAnsi="Times New Roman"/>
        </w:rPr>
        <w:t xml:space="preserve"> hóa điện hóa, </w:t>
      </w:r>
      <w:r w:rsidR="00BF32F7" w:rsidRPr="00E12314">
        <w:rPr>
          <w:rFonts w:ascii="Times New Roman" w:hAnsi="Times New Roman"/>
        </w:rPr>
        <w:t>oxi</w:t>
      </w:r>
      <w:r w:rsidR="00BF32F7">
        <w:rPr>
          <w:rFonts w:ascii="Times New Roman" w:hAnsi="Times New Roman"/>
        </w:rPr>
        <w:t xml:space="preserve"> hóa tiê</w:t>
      </w:r>
      <w:r w:rsidRPr="00E12314">
        <w:rPr>
          <w:rFonts w:ascii="Times New Roman" w:hAnsi="Times New Roman"/>
        </w:rPr>
        <w:t xml:space="preserve">n tiến, lọc màng. Trong số này, phương pháp </w:t>
      </w:r>
      <w:r>
        <w:rPr>
          <w:rFonts w:ascii="Times New Roman" w:hAnsi="Times New Roman"/>
        </w:rPr>
        <w:t>sinh học</w:t>
      </w:r>
      <w:r w:rsidRPr="00E12314">
        <w:rPr>
          <w:rFonts w:ascii="Times New Roman" w:hAnsi="Times New Roman"/>
        </w:rPr>
        <w:t xml:space="preserve"> được sử dụng phổ biến nhất cho đến nay vì rất thân thiện với môi trường, thiết bị đơn giản và chi phí vận hành thấp. Tuy nhiên</w:t>
      </w:r>
      <w:r>
        <w:rPr>
          <w:rFonts w:ascii="Times New Roman" w:hAnsi="Times New Roman"/>
        </w:rPr>
        <w:t>,</w:t>
      </w:r>
      <w:r w:rsidRPr="00E12314">
        <w:rPr>
          <w:rFonts w:ascii="Times New Roman" w:hAnsi="Times New Roman"/>
        </w:rPr>
        <w:t xml:space="preserve"> phương pháp này không thể xử lý được triệt để vấn đề màu và COD do tín</w:t>
      </w:r>
      <w:r w:rsidR="0083442A">
        <w:rPr>
          <w:rFonts w:ascii="Times New Roman" w:hAnsi="Times New Roman"/>
        </w:rPr>
        <w:t>h bền của thuốc nhuộm. Do đó, kỹ</w:t>
      </w:r>
      <w:r w:rsidRPr="00E12314">
        <w:rPr>
          <w:rFonts w:ascii="Times New Roman" w:hAnsi="Times New Roman"/>
        </w:rPr>
        <w:t xml:space="preserve"> thuật vi sinh cần thêm sự trợ giúp của các phương pháp xử lý tăng cường khác như: </w:t>
      </w:r>
      <w:r w:rsidRPr="0051341D">
        <w:rPr>
          <w:rFonts w:ascii="Times New Roman" w:hAnsi="Times New Roman"/>
        </w:rPr>
        <w:t>keo tụ</w:t>
      </w:r>
      <w:r w:rsidRPr="00E12314">
        <w:rPr>
          <w:rFonts w:ascii="Times New Roman" w:hAnsi="Times New Roman"/>
        </w:rPr>
        <w:t xml:space="preserve">, tuyển nổi, hấp phụ than hoạt tính, </w:t>
      </w:r>
      <w:r w:rsidR="00BF32F7" w:rsidRPr="00E12314">
        <w:rPr>
          <w:rFonts w:ascii="Times New Roman" w:hAnsi="Times New Roman"/>
        </w:rPr>
        <w:t>oxi</w:t>
      </w:r>
      <w:r w:rsidRPr="00E12314">
        <w:rPr>
          <w:rFonts w:ascii="Times New Roman" w:hAnsi="Times New Roman"/>
        </w:rPr>
        <w:t xml:space="preserve"> hóa hóa học, hoặc </w:t>
      </w:r>
      <w:r w:rsidR="00BF32F7" w:rsidRPr="00E12314">
        <w:rPr>
          <w:rFonts w:ascii="Times New Roman" w:hAnsi="Times New Roman"/>
        </w:rPr>
        <w:t>oxi</w:t>
      </w:r>
      <w:r w:rsidRPr="00E12314">
        <w:rPr>
          <w:rFonts w:ascii="Times New Roman" w:hAnsi="Times New Roman"/>
        </w:rPr>
        <w:t xml:space="preserve"> hóa tiên tiến.</w:t>
      </w:r>
      <w:r>
        <w:rPr>
          <w:rFonts w:ascii="Times New Roman" w:hAnsi="Times New Roman"/>
        </w:rPr>
        <w:t xml:space="preserve"> Ở kỹ thuật </w:t>
      </w:r>
      <w:r w:rsidRPr="0051341D">
        <w:rPr>
          <w:rFonts w:ascii="Times New Roman" w:hAnsi="Times New Roman"/>
        </w:rPr>
        <w:t>keo tụ</w:t>
      </w:r>
      <w:r>
        <w:rPr>
          <w:rFonts w:ascii="Times New Roman" w:hAnsi="Times New Roman"/>
        </w:rPr>
        <w:t>, n</w:t>
      </w:r>
      <w:r w:rsidRPr="00E12314">
        <w:rPr>
          <w:rFonts w:ascii="Times New Roman" w:hAnsi="Times New Roman"/>
        </w:rPr>
        <w:t xml:space="preserve">hiều nghiên cứu về hiệu quả xử lý hữu cơ bằng quá trình </w:t>
      </w:r>
      <w:r w:rsidR="0051341D">
        <w:rPr>
          <w:rFonts w:ascii="Times New Roman" w:hAnsi="Times New Roman"/>
        </w:rPr>
        <w:t>này</w:t>
      </w:r>
      <w:r w:rsidRPr="00E12314">
        <w:rPr>
          <w:rFonts w:ascii="Times New Roman" w:hAnsi="Times New Roman"/>
        </w:rPr>
        <w:t xml:space="preserve"> đã được thực hiện</w:t>
      </w:r>
      <w:r>
        <w:rPr>
          <w:rFonts w:ascii="Times New Roman" w:hAnsi="Times New Roman"/>
        </w:rPr>
        <w:t xml:space="preserve"> để xử lý màu và COD bằng việc thay đổi liều lượng phèn Fe </w:t>
      </w:r>
      <w:r w:rsidRPr="00E12314">
        <w:rPr>
          <w:rFonts w:ascii="Times New Roman" w:hAnsi="Times New Roman"/>
          <w:color w:val="0000CC"/>
        </w:rPr>
        <w:t>[1]</w:t>
      </w:r>
      <w:r>
        <w:rPr>
          <w:rFonts w:ascii="Times New Roman" w:hAnsi="Times New Roman"/>
        </w:rPr>
        <w:t xml:space="preserve"> hoặc sử dụng PAC </w:t>
      </w:r>
      <w:r w:rsidRPr="00E12314">
        <w:rPr>
          <w:rFonts w:ascii="Times New Roman" w:hAnsi="Times New Roman"/>
          <w:color w:val="0000CC"/>
        </w:rPr>
        <w:t>[2]</w:t>
      </w:r>
      <w:r w:rsidR="00B44508">
        <w:rPr>
          <w:rFonts w:ascii="Times New Roman" w:hAnsi="Times New Roman"/>
          <w:color w:val="0000CC"/>
        </w:rPr>
        <w:t xml:space="preserve"> </w:t>
      </w:r>
      <w:r w:rsidRPr="00D5174F">
        <w:rPr>
          <w:rFonts w:ascii="Times New Roman" w:hAnsi="Times New Roman"/>
        </w:rPr>
        <w:t xml:space="preserve">hay </w:t>
      </w:r>
      <w:r w:rsidRPr="00287AFF">
        <w:rPr>
          <w:rFonts w:ascii="Times New Roman" w:hAnsi="Times New Roman"/>
        </w:rPr>
        <w:t xml:space="preserve">sử dụng </w:t>
      </w:r>
      <w:r w:rsidR="0051341D">
        <w:rPr>
          <w:rFonts w:ascii="Times New Roman" w:hAnsi="Times New Roman"/>
        </w:rPr>
        <w:t>chitosan</w:t>
      </w:r>
      <w:r w:rsidR="00B24285">
        <w:rPr>
          <w:rFonts w:ascii="Times New Roman" w:hAnsi="Times New Roman"/>
        </w:rPr>
        <w:t xml:space="preserve"> </w:t>
      </w:r>
      <w:r w:rsidRPr="00E12314">
        <w:rPr>
          <w:rFonts w:ascii="Times New Roman" w:hAnsi="Times New Roman"/>
          <w:color w:val="0000CC"/>
        </w:rPr>
        <w:t>[3]</w:t>
      </w:r>
      <w:r w:rsidRPr="00287AFF">
        <w:rPr>
          <w:rFonts w:ascii="Times New Roman" w:hAnsi="Times New Roman"/>
        </w:rPr>
        <w:t>.</w:t>
      </w:r>
      <w:r w:rsidR="0083442A">
        <w:rPr>
          <w:rFonts w:ascii="Times New Roman" w:hAnsi="Times New Roman"/>
        </w:rPr>
        <w:t xml:space="preserve"> </w:t>
      </w:r>
      <w:r w:rsidRPr="00FD3342">
        <w:rPr>
          <w:rFonts w:ascii="Times New Roman" w:hAnsi="Times New Roman"/>
        </w:rPr>
        <w:t xml:space="preserve">Tuy nhiên, do đặc tính của nước thải dệt nhuộm, </w:t>
      </w:r>
      <w:r>
        <w:rPr>
          <w:rFonts w:ascii="Times New Roman" w:hAnsi="Times New Roman"/>
        </w:rPr>
        <w:t>nước thải</w:t>
      </w:r>
      <w:r w:rsidRPr="00FD3342">
        <w:rPr>
          <w:rFonts w:ascii="Times New Roman" w:hAnsi="Times New Roman"/>
        </w:rPr>
        <w:t xml:space="preserve"> sau xử lý </w:t>
      </w:r>
      <w:r>
        <w:rPr>
          <w:rFonts w:ascii="Times New Roman" w:hAnsi="Times New Roman"/>
        </w:rPr>
        <w:t xml:space="preserve">vẫn không </w:t>
      </w:r>
      <w:r w:rsidRPr="00FD3342">
        <w:rPr>
          <w:rFonts w:ascii="Times New Roman" w:hAnsi="Times New Roman"/>
        </w:rPr>
        <w:t>đạt tiêu chuẩn xả thải. Nhằm giải quyết bài toán này, nhiều hệ thống lắp đặt thêm giai đoạn xử lý cấp 3.</w:t>
      </w:r>
      <w:r>
        <w:rPr>
          <w:rFonts w:ascii="Times New Roman" w:hAnsi="Times New Roman"/>
        </w:rPr>
        <w:t>C</w:t>
      </w:r>
      <w:r w:rsidR="00D56EFF">
        <w:rPr>
          <w:rFonts w:ascii="Times New Roman" w:hAnsi="Times New Roman"/>
        </w:rPr>
        <w:t>ông nghệ cho xử lý cấp 3</w:t>
      </w:r>
      <w:r w:rsidRPr="00E12314">
        <w:rPr>
          <w:rFonts w:ascii="Times New Roman" w:hAnsi="Times New Roman"/>
        </w:rPr>
        <w:t xml:space="preserve"> tương đối đa dạng, từ các phương pháp</w:t>
      </w:r>
      <w:r w:rsidR="00D5174F">
        <w:rPr>
          <w:rFonts w:ascii="Times New Roman" w:hAnsi="Times New Roman"/>
        </w:rPr>
        <w:t xml:space="preserve"> hóa lý truyền thống </w:t>
      </w:r>
      <w:r w:rsidR="00D5174F" w:rsidRPr="006C7F32">
        <w:rPr>
          <w:rFonts w:ascii="Times New Roman" w:hAnsi="Times New Roman"/>
        </w:rPr>
        <w:t>là keo tụ</w:t>
      </w:r>
      <w:r w:rsidRPr="006C7F32">
        <w:rPr>
          <w:rFonts w:ascii="Times New Roman" w:hAnsi="Times New Roman"/>
        </w:rPr>
        <w:t>,</w:t>
      </w:r>
      <w:r w:rsidRPr="00E12314">
        <w:rPr>
          <w:rFonts w:ascii="Times New Roman" w:hAnsi="Times New Roman"/>
        </w:rPr>
        <w:t xml:space="preserve"> hấp phụ đến phương pháp </w:t>
      </w:r>
      <w:r w:rsidR="00BF32F7" w:rsidRPr="00E12314">
        <w:rPr>
          <w:rFonts w:ascii="Times New Roman" w:hAnsi="Times New Roman"/>
        </w:rPr>
        <w:t>oxi</w:t>
      </w:r>
      <w:r w:rsidRPr="00E12314">
        <w:rPr>
          <w:rFonts w:ascii="Times New Roman" w:hAnsi="Times New Roman"/>
        </w:rPr>
        <w:t xml:space="preserve"> hóa hóa học (sử dụng các chất </w:t>
      </w:r>
      <w:r w:rsidR="00BF32F7" w:rsidRPr="00E12314">
        <w:rPr>
          <w:rFonts w:ascii="Times New Roman" w:hAnsi="Times New Roman"/>
        </w:rPr>
        <w:t>oxi</w:t>
      </w:r>
      <w:r w:rsidRPr="00E12314">
        <w:rPr>
          <w:rFonts w:ascii="Times New Roman" w:hAnsi="Times New Roman"/>
        </w:rPr>
        <w:t xml:space="preserve"> hóa như H</w:t>
      </w:r>
      <w:r w:rsidRPr="00E12314">
        <w:rPr>
          <w:rFonts w:ascii="Times New Roman" w:hAnsi="Times New Roman"/>
          <w:vertAlign w:val="subscript"/>
        </w:rPr>
        <w:t>2</w:t>
      </w:r>
      <w:r w:rsidRPr="00E12314">
        <w:rPr>
          <w:rFonts w:ascii="Times New Roman" w:hAnsi="Times New Roman"/>
        </w:rPr>
        <w:t>O</w:t>
      </w:r>
      <w:r w:rsidRPr="00E12314">
        <w:rPr>
          <w:rFonts w:ascii="Times New Roman" w:hAnsi="Times New Roman"/>
          <w:vertAlign w:val="subscript"/>
        </w:rPr>
        <w:t>2</w:t>
      </w:r>
      <w:r w:rsidRPr="00E12314">
        <w:rPr>
          <w:rFonts w:ascii="Times New Roman" w:hAnsi="Times New Roman"/>
        </w:rPr>
        <w:t>, FeO</w:t>
      </w:r>
      <w:r w:rsidRPr="00E12314">
        <w:rPr>
          <w:rFonts w:ascii="Times New Roman" w:hAnsi="Times New Roman"/>
          <w:vertAlign w:val="subscript"/>
        </w:rPr>
        <w:t>4</w:t>
      </w:r>
      <w:r w:rsidRPr="00E12314">
        <w:rPr>
          <w:rFonts w:ascii="Times New Roman" w:hAnsi="Times New Roman"/>
          <w:vertAlign w:val="superscript"/>
        </w:rPr>
        <w:t>-</w:t>
      </w:r>
      <w:r w:rsidRPr="00E12314">
        <w:rPr>
          <w:rFonts w:ascii="Times New Roman" w:hAnsi="Times New Roman"/>
        </w:rPr>
        <w:t>, O</w:t>
      </w:r>
      <w:r w:rsidRPr="00E12314">
        <w:rPr>
          <w:rFonts w:ascii="Times New Roman" w:hAnsi="Times New Roman"/>
          <w:vertAlign w:val="subscript"/>
        </w:rPr>
        <w:t>3</w:t>
      </w:r>
      <w:r w:rsidRPr="00E12314">
        <w:rPr>
          <w:rFonts w:ascii="Times New Roman" w:hAnsi="Times New Roman"/>
        </w:rPr>
        <w:t>, ...)</w:t>
      </w:r>
      <w:r>
        <w:rPr>
          <w:rFonts w:ascii="Times New Roman" w:hAnsi="Times New Roman"/>
        </w:rPr>
        <w:t>,</w:t>
      </w:r>
      <w:r w:rsidRPr="00E12314">
        <w:rPr>
          <w:rFonts w:ascii="Times New Roman" w:hAnsi="Times New Roman"/>
        </w:rPr>
        <w:t xml:space="preserve"> </w:t>
      </w:r>
      <w:r w:rsidR="006C7F32">
        <w:rPr>
          <w:rFonts w:ascii="Times New Roman" w:hAnsi="Times New Roman"/>
        </w:rPr>
        <w:t>gần đây</w:t>
      </w:r>
      <w:r w:rsidRPr="00E12314">
        <w:rPr>
          <w:rFonts w:ascii="Times New Roman" w:hAnsi="Times New Roman"/>
        </w:rPr>
        <w:t xml:space="preserve"> là các phương pháp</w:t>
      </w:r>
      <w:r w:rsidR="006C7F32">
        <w:rPr>
          <w:rFonts w:ascii="Times New Roman" w:hAnsi="Times New Roman"/>
        </w:rPr>
        <w:t xml:space="preserve"> tiên tiến như </w:t>
      </w:r>
      <w:r w:rsidR="00BF32F7" w:rsidRPr="00E12314">
        <w:rPr>
          <w:rFonts w:ascii="Times New Roman" w:hAnsi="Times New Roman"/>
        </w:rPr>
        <w:t>oxi</w:t>
      </w:r>
      <w:r w:rsidRPr="00E12314">
        <w:rPr>
          <w:rFonts w:ascii="Times New Roman" w:hAnsi="Times New Roman"/>
        </w:rPr>
        <w:t xml:space="preserve"> hóa pha lỏng có và không có xúc </w:t>
      </w:r>
      <w:r w:rsidR="00BF32F7" w:rsidRPr="00E12314">
        <w:rPr>
          <w:rFonts w:ascii="Times New Roman" w:hAnsi="Times New Roman"/>
        </w:rPr>
        <w:t>tác</w:t>
      </w:r>
      <w:r w:rsidR="006C7F32">
        <w:rPr>
          <w:rFonts w:ascii="Times New Roman" w:hAnsi="Times New Roman"/>
        </w:rPr>
        <w:t xml:space="preserve">. </w:t>
      </w:r>
      <w:r w:rsidR="00BF32F7" w:rsidRPr="00E12314">
        <w:rPr>
          <w:rFonts w:ascii="Times New Roman" w:hAnsi="Times New Roman"/>
        </w:rPr>
        <w:t>Các</w:t>
      </w:r>
      <w:r w:rsidRPr="00E12314">
        <w:rPr>
          <w:rFonts w:ascii="Times New Roman" w:hAnsi="Times New Roman"/>
        </w:rPr>
        <w:t xml:space="preserve"> phương pháp đã nêu có chung ưu điểm là có </w:t>
      </w:r>
      <w:r>
        <w:rPr>
          <w:rFonts w:ascii="Times New Roman" w:hAnsi="Times New Roman"/>
        </w:rPr>
        <w:t>hiệu quả cao</w:t>
      </w:r>
      <w:r w:rsidRPr="00E12314">
        <w:rPr>
          <w:rFonts w:ascii="Times New Roman" w:hAnsi="Times New Roman"/>
        </w:rPr>
        <w:t xml:space="preserve"> tuy nhiên thường có chi phí </w:t>
      </w:r>
      <w:r w:rsidR="00BF32F7">
        <w:rPr>
          <w:rFonts w:ascii="Times New Roman" w:hAnsi="Times New Roman"/>
        </w:rPr>
        <w:t>lớn cho</w:t>
      </w:r>
      <w:r w:rsidR="00D5174F">
        <w:rPr>
          <w:rFonts w:ascii="Times New Roman" w:hAnsi="Times New Roman"/>
        </w:rPr>
        <w:t xml:space="preserve"> thiết bị,</w:t>
      </w:r>
      <w:r w:rsidR="0083442A">
        <w:rPr>
          <w:rFonts w:ascii="Times New Roman" w:hAnsi="Times New Roman"/>
        </w:rPr>
        <w:t xml:space="preserve"> năng lượng</w:t>
      </w:r>
      <w:r w:rsidRPr="00E12314">
        <w:rPr>
          <w:rFonts w:ascii="Times New Roman" w:hAnsi="Times New Roman"/>
        </w:rPr>
        <w:t xml:space="preserve"> </w:t>
      </w:r>
      <w:r>
        <w:rPr>
          <w:rFonts w:ascii="Times New Roman" w:hAnsi="Times New Roman"/>
        </w:rPr>
        <w:t>hay</w:t>
      </w:r>
      <w:r w:rsidRPr="00E12314">
        <w:rPr>
          <w:rFonts w:ascii="Times New Roman" w:hAnsi="Times New Roman"/>
        </w:rPr>
        <w:t xml:space="preserve"> chi phí hóa chất </w:t>
      </w:r>
      <w:r w:rsidRPr="00E12314">
        <w:rPr>
          <w:rFonts w:ascii="Times New Roman" w:hAnsi="Times New Roman"/>
          <w:color w:val="0000CC"/>
        </w:rPr>
        <w:t>[4]</w:t>
      </w:r>
      <w:r w:rsidRPr="00E12314">
        <w:rPr>
          <w:rFonts w:ascii="Times New Roman" w:hAnsi="Times New Roman"/>
        </w:rPr>
        <w:t>.</w:t>
      </w:r>
    </w:p>
    <w:p w:rsidR="00E54583" w:rsidRPr="00E12314" w:rsidRDefault="00E54583" w:rsidP="005475BE">
      <w:pPr>
        <w:spacing w:before="60" w:after="60" w:line="280" w:lineRule="atLeast"/>
        <w:ind w:firstLine="425"/>
        <w:jc w:val="both"/>
        <w:rPr>
          <w:rFonts w:ascii="Times New Roman" w:hAnsi="Times New Roman"/>
        </w:rPr>
      </w:pPr>
      <w:r>
        <w:rPr>
          <w:rFonts w:ascii="Times New Roman" w:hAnsi="Times New Roman"/>
        </w:rPr>
        <w:t xml:space="preserve">Nhằm </w:t>
      </w:r>
      <w:r w:rsidR="004B2B88">
        <w:rPr>
          <w:rFonts w:ascii="Times New Roman" w:hAnsi="Times New Roman"/>
        </w:rPr>
        <w:t>tăng hiệu quả</w:t>
      </w:r>
      <w:r>
        <w:rPr>
          <w:rFonts w:ascii="Times New Roman" w:hAnsi="Times New Roman"/>
        </w:rPr>
        <w:t xml:space="preserve"> của kỹ thuật </w:t>
      </w:r>
      <w:r w:rsidR="004B2B88">
        <w:rPr>
          <w:rFonts w:ascii="Times New Roman" w:hAnsi="Times New Roman"/>
        </w:rPr>
        <w:t>vi sinh</w:t>
      </w:r>
      <w:r>
        <w:rPr>
          <w:rFonts w:ascii="Times New Roman" w:hAnsi="Times New Roman"/>
        </w:rPr>
        <w:t xml:space="preserve"> đối với nước thải dệt nhuộm. Nghiên cứu này đề xuất </w:t>
      </w:r>
      <w:r w:rsidR="002113F8">
        <w:rPr>
          <w:rFonts w:ascii="Times New Roman" w:hAnsi="Times New Roman"/>
        </w:rPr>
        <w:t>giải pháp</w:t>
      </w:r>
      <w:r>
        <w:rPr>
          <w:rFonts w:ascii="Times New Roman" w:hAnsi="Times New Roman"/>
        </w:rPr>
        <w:t xml:space="preserve"> nhằm </w:t>
      </w:r>
      <w:r w:rsidRPr="00E12314">
        <w:rPr>
          <w:rFonts w:ascii="Times New Roman" w:hAnsi="Times New Roman"/>
        </w:rPr>
        <w:t xml:space="preserve">tăng cường khả năng xử lý của </w:t>
      </w:r>
      <w:r>
        <w:rPr>
          <w:rFonts w:ascii="Times New Roman" w:hAnsi="Times New Roman"/>
        </w:rPr>
        <w:t>kỹ thuật vi sinh</w:t>
      </w:r>
      <w:r w:rsidR="0083442A">
        <w:rPr>
          <w:rFonts w:ascii="Times New Roman" w:hAnsi="Times New Roman"/>
        </w:rPr>
        <w:t xml:space="preserve"> </w:t>
      </w:r>
      <w:r w:rsidR="002113F8">
        <w:rPr>
          <w:rFonts w:ascii="Times New Roman" w:hAnsi="Times New Roman"/>
        </w:rPr>
        <w:t xml:space="preserve">thông </w:t>
      </w:r>
      <w:r w:rsidRPr="00E12314">
        <w:rPr>
          <w:rFonts w:ascii="Times New Roman" w:hAnsi="Times New Roman"/>
        </w:rPr>
        <w:t>qua hiệu chỉnh tại 2 giai đoạn: (</w:t>
      </w:r>
      <w:r>
        <w:rPr>
          <w:rFonts w:ascii="Times New Roman" w:hAnsi="Times New Roman"/>
        </w:rPr>
        <w:t>1</w:t>
      </w:r>
      <w:r w:rsidRPr="00E12314">
        <w:rPr>
          <w:rFonts w:ascii="Times New Roman" w:hAnsi="Times New Roman"/>
        </w:rPr>
        <w:t xml:space="preserve">) </w:t>
      </w:r>
      <w:r>
        <w:rPr>
          <w:rFonts w:ascii="Times New Roman" w:hAnsi="Times New Roman"/>
        </w:rPr>
        <w:t xml:space="preserve">khử độc tại giai đoạn </w:t>
      </w:r>
      <w:r w:rsidRPr="006C7F32">
        <w:rPr>
          <w:rFonts w:ascii="Times New Roman" w:hAnsi="Times New Roman"/>
        </w:rPr>
        <w:t xml:space="preserve">keo tụ </w:t>
      </w:r>
      <w:r w:rsidRPr="00E12314">
        <w:rPr>
          <w:rFonts w:ascii="Times New Roman" w:hAnsi="Times New Roman"/>
        </w:rPr>
        <w:t>và (</w:t>
      </w:r>
      <w:r>
        <w:rPr>
          <w:rFonts w:ascii="Times New Roman" w:hAnsi="Times New Roman"/>
        </w:rPr>
        <w:t>2</w:t>
      </w:r>
      <w:r w:rsidRPr="00E12314">
        <w:rPr>
          <w:rFonts w:ascii="Times New Roman" w:hAnsi="Times New Roman"/>
        </w:rPr>
        <w:t xml:space="preserve">) </w:t>
      </w:r>
      <w:r>
        <w:rPr>
          <w:rFonts w:ascii="Times New Roman" w:hAnsi="Times New Roman"/>
        </w:rPr>
        <w:t xml:space="preserve">bổ sung </w:t>
      </w:r>
      <w:r w:rsidR="005561F6">
        <w:rPr>
          <w:rFonts w:ascii="Times New Roman" w:hAnsi="Times New Roman"/>
        </w:rPr>
        <w:t>than hoạt tính</w:t>
      </w:r>
      <w:bookmarkStart w:id="1" w:name="_GoBack"/>
      <w:bookmarkEnd w:id="1"/>
      <w:r w:rsidR="00ED578F">
        <w:rPr>
          <w:rFonts w:ascii="Times New Roman" w:hAnsi="Times New Roman"/>
        </w:rPr>
        <w:t xml:space="preserve"> tại bể</w:t>
      </w:r>
      <w:r>
        <w:rPr>
          <w:rFonts w:ascii="Times New Roman" w:hAnsi="Times New Roman"/>
        </w:rPr>
        <w:t xml:space="preserve"> vi sinh với kỹ thuật bùn hoạt tính.</w:t>
      </w:r>
    </w:p>
    <w:p w:rsidR="00E54583" w:rsidRPr="00E12314" w:rsidRDefault="00E54583" w:rsidP="005475BE">
      <w:pPr>
        <w:spacing w:before="60" w:after="60" w:line="280" w:lineRule="atLeast"/>
        <w:ind w:firstLine="425"/>
        <w:jc w:val="both"/>
        <w:rPr>
          <w:rFonts w:ascii="Times New Roman" w:hAnsi="Times New Roman"/>
        </w:rPr>
      </w:pPr>
      <w:r w:rsidRPr="00E12314">
        <w:rPr>
          <w:rFonts w:ascii="Times New Roman" w:hAnsi="Times New Roman"/>
        </w:rPr>
        <w:lastRenderedPageBreak/>
        <w:t xml:space="preserve">Trong giai đoạn </w:t>
      </w:r>
      <w:r w:rsidRPr="006C7F32">
        <w:rPr>
          <w:rFonts w:ascii="Times New Roman" w:hAnsi="Times New Roman"/>
        </w:rPr>
        <w:t>keo tụ</w:t>
      </w:r>
      <w:r w:rsidRPr="00E12314">
        <w:rPr>
          <w:rFonts w:ascii="Times New Roman" w:hAnsi="Times New Roman"/>
        </w:rPr>
        <w:t xml:space="preserve">, tác nhân giải độc được thêm cùng với hóa chất keo tụ. Vai trò của tác nhân là phá hủy các nhóm chức trong phân tử màu có khả năng ức chế vi sinh. </w:t>
      </w:r>
    </w:p>
    <w:p w:rsidR="00E54583" w:rsidRPr="00E12314" w:rsidRDefault="00E54583" w:rsidP="005475BE">
      <w:pPr>
        <w:spacing w:before="60" w:after="60" w:line="280" w:lineRule="atLeast"/>
        <w:ind w:firstLine="425"/>
        <w:jc w:val="both"/>
        <w:rPr>
          <w:rFonts w:ascii="Times New Roman" w:hAnsi="Times New Roman"/>
        </w:rPr>
      </w:pPr>
      <w:r w:rsidRPr="00E12314">
        <w:rPr>
          <w:rFonts w:ascii="Times New Roman" w:hAnsi="Times New Roman"/>
        </w:rPr>
        <w:t xml:space="preserve">Trong giai đoạn xử lý bằng vi sinh </w:t>
      </w:r>
      <w:r>
        <w:rPr>
          <w:rFonts w:ascii="Times New Roman" w:hAnsi="Times New Roman"/>
        </w:rPr>
        <w:t>với kỹ thuật bùn hoạt tính</w:t>
      </w:r>
      <w:r w:rsidRPr="00E12314">
        <w:rPr>
          <w:rFonts w:ascii="Times New Roman" w:hAnsi="Times New Roman"/>
        </w:rPr>
        <w:t>, than hoạt tính dạng bột được thêm định kì vào bể vi sinh</w:t>
      </w:r>
      <w:r w:rsidR="0026421A">
        <w:rPr>
          <w:rFonts w:ascii="Times New Roman" w:hAnsi="Times New Roman"/>
        </w:rPr>
        <w:t xml:space="preserve"> nhằm</w:t>
      </w:r>
      <w:r w:rsidRPr="00E12314">
        <w:rPr>
          <w:rFonts w:ascii="Times New Roman" w:hAnsi="Times New Roman"/>
        </w:rPr>
        <w:t xml:space="preserve"> tăng cường tiếp xúc giữa chất hữu cơ trong nước thải với bùn vi sinh.   </w:t>
      </w:r>
    </w:p>
    <w:bookmarkEnd w:id="0"/>
    <w:p w:rsidR="00E54583" w:rsidRPr="00E12314" w:rsidRDefault="00E54583" w:rsidP="005475BE">
      <w:pPr>
        <w:spacing w:before="60" w:after="60" w:line="280" w:lineRule="atLeast"/>
        <w:ind w:left="284" w:hanging="284"/>
        <w:jc w:val="both"/>
        <w:rPr>
          <w:rFonts w:ascii="Times New Roman" w:hAnsi="Times New Roman"/>
          <w:b/>
        </w:rPr>
      </w:pPr>
      <w:r w:rsidRPr="00E12314">
        <w:rPr>
          <w:rFonts w:ascii="Times New Roman" w:hAnsi="Times New Roman"/>
          <w:b/>
        </w:rPr>
        <w:t xml:space="preserve">2. </w:t>
      </w:r>
      <w:r>
        <w:rPr>
          <w:rFonts w:ascii="Times New Roman" w:hAnsi="Times New Roman"/>
          <w:b/>
        </w:rPr>
        <w:t>Quy trình t</w:t>
      </w:r>
      <w:r w:rsidRPr="00E12314">
        <w:rPr>
          <w:rFonts w:ascii="Times New Roman" w:hAnsi="Times New Roman"/>
          <w:b/>
        </w:rPr>
        <w:t xml:space="preserve">hực </w:t>
      </w:r>
      <w:r w:rsidR="00BF32F7" w:rsidRPr="00E12314">
        <w:rPr>
          <w:rFonts w:ascii="Times New Roman" w:hAnsi="Times New Roman"/>
          <w:b/>
        </w:rPr>
        <w:t>nghiệm</w:t>
      </w:r>
    </w:p>
    <w:p w:rsidR="00E54583" w:rsidRPr="00E12314" w:rsidRDefault="00E54583" w:rsidP="005475BE">
      <w:pPr>
        <w:spacing w:before="60" w:after="60" w:line="280" w:lineRule="atLeast"/>
        <w:ind w:firstLine="425"/>
        <w:jc w:val="both"/>
        <w:rPr>
          <w:rFonts w:ascii="Times New Roman" w:hAnsi="Times New Roman"/>
        </w:rPr>
      </w:pPr>
      <w:r w:rsidRPr="00E12314">
        <w:rPr>
          <w:rFonts w:ascii="Times New Roman" w:hAnsi="Times New Roman"/>
        </w:rPr>
        <w:t>Nước thải dệt nhuộm được lấy sau bể lắng và sau bể điều hòa</w:t>
      </w:r>
      <w:r>
        <w:rPr>
          <w:rFonts w:ascii="Times New Roman" w:hAnsi="Times New Roman"/>
        </w:rPr>
        <w:t xml:space="preserve"> của hệ thống xử lý n</w:t>
      </w:r>
      <w:r w:rsidR="003D13F7">
        <w:rPr>
          <w:rFonts w:ascii="Times New Roman" w:hAnsi="Times New Roman"/>
        </w:rPr>
        <w:t xml:space="preserve">ước thải của Công ty dệt </w:t>
      </w:r>
      <w:r w:rsidR="006C7F32">
        <w:rPr>
          <w:rFonts w:ascii="Times New Roman" w:hAnsi="Times New Roman"/>
        </w:rPr>
        <w:t xml:space="preserve">10-10. </w:t>
      </w:r>
      <w:r w:rsidRPr="00E12314">
        <w:rPr>
          <w:rFonts w:ascii="Times New Roman" w:hAnsi="Times New Roman"/>
        </w:rPr>
        <w:t xml:space="preserve">Nước thải lấy sau bể lắng là nước thải đã được </w:t>
      </w:r>
      <w:r w:rsidR="008A694B">
        <w:rPr>
          <w:rFonts w:ascii="Times New Roman" w:hAnsi="Times New Roman"/>
        </w:rPr>
        <w:t>keo tụ - tạo bông</w:t>
      </w:r>
      <w:r w:rsidRPr="00E12314">
        <w:rPr>
          <w:rFonts w:ascii="Times New Roman" w:hAnsi="Times New Roman"/>
        </w:rPr>
        <w:t xml:space="preserve"> lần 1</w:t>
      </w:r>
      <w:r w:rsidR="00621C5B">
        <w:rPr>
          <w:rFonts w:ascii="Times New Roman" w:hAnsi="Times New Roman"/>
        </w:rPr>
        <w:t xml:space="preserve"> nhưng không khử độc</w:t>
      </w:r>
      <w:r w:rsidRPr="00E12314">
        <w:rPr>
          <w:rFonts w:ascii="Times New Roman" w:hAnsi="Times New Roman"/>
        </w:rPr>
        <w:t xml:space="preserve">. Nước thải bể điều hòa là nước thải chưa được tiến hành xử lý hóa lý lần 1 và được tiến hành khử độc tại phòng thí nghiệm. Nước thải đã được khử độc và nước thải sau bể lắng được sử dụng cho nghiên cứu đánh giá hiệu quả xử lý </w:t>
      </w:r>
      <w:r w:rsidR="001A1F95">
        <w:rPr>
          <w:rFonts w:ascii="Times New Roman" w:hAnsi="Times New Roman"/>
        </w:rPr>
        <w:t>của</w:t>
      </w:r>
      <w:r w:rsidRPr="00E12314">
        <w:rPr>
          <w:rFonts w:ascii="Times New Roman" w:hAnsi="Times New Roman"/>
        </w:rPr>
        <w:t xml:space="preserve"> kỹ thuật bùn hoạt tính</w:t>
      </w:r>
      <w:r w:rsidR="00CE189B">
        <w:rPr>
          <w:rFonts w:ascii="Times New Roman" w:hAnsi="Times New Roman"/>
        </w:rPr>
        <w:t xml:space="preserve">, hai loại nước thải này </w:t>
      </w:r>
      <w:r w:rsidR="008A694B">
        <w:rPr>
          <w:rFonts w:ascii="Times New Roman" w:hAnsi="Times New Roman"/>
        </w:rPr>
        <w:t xml:space="preserve">đều </w:t>
      </w:r>
      <w:r w:rsidR="00621C5B">
        <w:rPr>
          <w:rFonts w:ascii="Times New Roman" w:hAnsi="Times New Roman"/>
        </w:rPr>
        <w:t>tương ứng với</w:t>
      </w:r>
      <w:r w:rsidR="0083442A">
        <w:rPr>
          <w:rFonts w:ascii="Times New Roman" w:hAnsi="Times New Roman"/>
        </w:rPr>
        <w:t xml:space="preserve"> nước thải đã được keo tụ </w:t>
      </w:r>
      <w:r w:rsidR="00CE189B">
        <w:rPr>
          <w:rFonts w:ascii="Times New Roman" w:hAnsi="Times New Roman"/>
        </w:rPr>
        <w:t>- tạo bông lần 1</w:t>
      </w:r>
      <w:r w:rsidR="004F1CBD">
        <w:rPr>
          <w:rFonts w:ascii="Times New Roman" w:hAnsi="Times New Roman"/>
        </w:rPr>
        <w:t xml:space="preserve"> và sau đây được gọi là nước thải đã khử độc và nước thải chưa khử độc</w:t>
      </w:r>
      <w:r w:rsidRPr="00E12314">
        <w:rPr>
          <w:rFonts w:ascii="Times New Roman" w:hAnsi="Times New Roman"/>
        </w:rPr>
        <w:t>. Nước thải lấy sau bể lắng</w:t>
      </w:r>
      <w:r>
        <w:rPr>
          <w:rFonts w:ascii="Times New Roman" w:hAnsi="Times New Roman"/>
        </w:rPr>
        <w:t xml:space="preserve"> có pH là 7,93 và COD là 670 mg/L. </w:t>
      </w:r>
      <w:r w:rsidRPr="00E12314">
        <w:rPr>
          <w:rFonts w:ascii="Times New Roman" w:hAnsi="Times New Roman"/>
        </w:rPr>
        <w:t>Nước thải bể điều hòa</w:t>
      </w:r>
      <w:r>
        <w:rPr>
          <w:rFonts w:ascii="Times New Roman" w:hAnsi="Times New Roman"/>
        </w:rPr>
        <w:t xml:space="preserve"> đã được khử độc có pH là 7,36 và COD là 665 mg/L.</w:t>
      </w:r>
    </w:p>
    <w:p w:rsidR="00E54583" w:rsidRDefault="00E54583" w:rsidP="005475BE">
      <w:pPr>
        <w:spacing w:before="60" w:after="120" w:line="280" w:lineRule="atLeast"/>
        <w:ind w:firstLine="425"/>
        <w:jc w:val="both"/>
        <w:rPr>
          <w:rFonts w:ascii="Times New Roman" w:hAnsi="Times New Roman"/>
        </w:rPr>
      </w:pPr>
      <w:r w:rsidRPr="00E12314">
        <w:rPr>
          <w:rFonts w:ascii="Times New Roman" w:hAnsi="Times New Roman"/>
        </w:rPr>
        <w:t xml:space="preserve">Hệ thí nghiệm </w:t>
      </w:r>
      <w:r w:rsidR="00D30258">
        <w:rPr>
          <w:rFonts w:ascii="Times New Roman" w:hAnsi="Times New Roman"/>
        </w:rPr>
        <w:t>được bố trí như hình 1</w:t>
      </w:r>
      <w:r w:rsidRPr="00E12314">
        <w:rPr>
          <w:rFonts w:ascii="Times New Roman" w:hAnsi="Times New Roman"/>
        </w:rPr>
        <w:t xml:space="preserve">. Hệ thống gồm máy sục khí để cấp khí cho vi khuẩn hiếu khí hoạt động trong hai cốc 2L chứa </w:t>
      </w:r>
      <w:r w:rsidR="000711CB">
        <w:rPr>
          <w:rFonts w:ascii="Times New Roman" w:hAnsi="Times New Roman"/>
        </w:rPr>
        <w:t xml:space="preserve">1L </w:t>
      </w:r>
      <w:r w:rsidRPr="00E12314">
        <w:rPr>
          <w:rFonts w:ascii="Times New Roman" w:hAnsi="Times New Roman"/>
        </w:rPr>
        <w:t>nước thải và bùn vi sinh.</w:t>
      </w:r>
      <w:r w:rsidR="0083442A">
        <w:rPr>
          <w:rFonts w:ascii="Times New Roman" w:hAnsi="Times New Roman"/>
        </w:rPr>
        <w:t xml:space="preserve"> </w:t>
      </w:r>
      <w:r w:rsidR="00F37243" w:rsidRPr="00E12314">
        <w:rPr>
          <w:rFonts w:ascii="Times New Roman" w:hAnsi="Times New Roman"/>
        </w:rPr>
        <w:t>Trong mỗi cốc nước thải gồm 100 mL bùn hoạt tính</w:t>
      </w:r>
      <w:r w:rsidR="00F37243">
        <w:rPr>
          <w:rFonts w:ascii="Times New Roman" w:hAnsi="Times New Roman"/>
        </w:rPr>
        <w:t xml:space="preserve"> (TSS = 79,7 g/L)</w:t>
      </w:r>
      <w:r w:rsidR="00F37243" w:rsidRPr="00E12314">
        <w:rPr>
          <w:rFonts w:ascii="Times New Roman" w:hAnsi="Times New Roman"/>
        </w:rPr>
        <w:t>, 900 mL nước thải, bổ sung dinh dưỡng cho vi sinh dưới dạng NH</w:t>
      </w:r>
      <w:r w:rsidR="00F37243" w:rsidRPr="00E12314">
        <w:rPr>
          <w:rFonts w:ascii="Times New Roman" w:hAnsi="Times New Roman"/>
          <w:vertAlign w:val="subscript"/>
        </w:rPr>
        <w:t>4</w:t>
      </w:r>
      <w:r w:rsidR="00F37243" w:rsidRPr="00E12314">
        <w:rPr>
          <w:rFonts w:ascii="Times New Roman" w:hAnsi="Times New Roman"/>
        </w:rPr>
        <w:t>Cl và K</w:t>
      </w:r>
      <w:r w:rsidR="00F37243" w:rsidRPr="00E12314">
        <w:rPr>
          <w:rFonts w:ascii="Times New Roman" w:hAnsi="Times New Roman"/>
          <w:vertAlign w:val="subscript"/>
        </w:rPr>
        <w:t>2</w:t>
      </w:r>
      <w:r w:rsidR="00F37243" w:rsidRPr="00E12314">
        <w:rPr>
          <w:rFonts w:ascii="Times New Roman" w:hAnsi="Times New Roman"/>
        </w:rPr>
        <w:t>HPO</w:t>
      </w:r>
      <w:r w:rsidR="00F37243" w:rsidRPr="00E12314">
        <w:rPr>
          <w:rFonts w:ascii="Times New Roman" w:hAnsi="Times New Roman"/>
          <w:vertAlign w:val="subscript"/>
        </w:rPr>
        <w:t>4</w:t>
      </w:r>
      <w:r w:rsidR="00F37243" w:rsidRPr="00E12314">
        <w:rPr>
          <w:rFonts w:ascii="Times New Roman" w:hAnsi="Times New Roman"/>
        </w:rPr>
        <w:t xml:space="preserve"> sao cho tỉ lệ COD:N:P = 200:5:1. Thí nghiệm được tiến hành </w:t>
      </w:r>
      <w:r w:rsidR="001A1F95">
        <w:rPr>
          <w:rFonts w:ascii="Times New Roman" w:hAnsi="Times New Roman"/>
        </w:rPr>
        <w:t>trong điều kiện DO</w:t>
      </w:r>
      <w:r w:rsidR="00F37243">
        <w:rPr>
          <w:rFonts w:ascii="Times New Roman" w:hAnsi="Times New Roman"/>
        </w:rPr>
        <w:t xml:space="preserve"> khoảng</w:t>
      </w:r>
      <w:r w:rsidR="00F37243" w:rsidRPr="00E12314">
        <w:rPr>
          <w:rFonts w:ascii="Times New Roman" w:hAnsi="Times New Roman"/>
        </w:rPr>
        <w:t xml:space="preserve"> 2 – 4</w:t>
      </w:r>
      <w:r w:rsidR="00F37243">
        <w:rPr>
          <w:rFonts w:ascii="Times New Roman" w:hAnsi="Times New Roman"/>
        </w:rPr>
        <w:t xml:space="preserve"> mg</w:t>
      </w:r>
      <w:r w:rsidR="00BF32F7">
        <w:rPr>
          <w:rFonts w:ascii="Times New Roman" w:hAnsi="Times New Roman"/>
        </w:rPr>
        <w:t xml:space="preserve"> </w:t>
      </w:r>
      <w:r w:rsidR="00F37243">
        <w:rPr>
          <w:rFonts w:ascii="Times New Roman" w:hAnsi="Times New Roman"/>
        </w:rPr>
        <w:t>O</w:t>
      </w:r>
      <w:r w:rsidR="00F37243" w:rsidRPr="006B3C62">
        <w:rPr>
          <w:rFonts w:ascii="Times New Roman" w:hAnsi="Times New Roman"/>
          <w:vertAlign w:val="subscript"/>
        </w:rPr>
        <w:t>2</w:t>
      </w:r>
      <w:r w:rsidR="00F37243">
        <w:rPr>
          <w:rFonts w:ascii="Times New Roman" w:hAnsi="Times New Roman"/>
        </w:rPr>
        <w:t>/L</w:t>
      </w:r>
      <w:r w:rsidR="00F37243" w:rsidRPr="00E12314">
        <w:rPr>
          <w:rFonts w:ascii="Times New Roman" w:hAnsi="Times New Roman"/>
        </w:rPr>
        <w:t>, nhiệt độ phòng (khoảng 18 – 22</w:t>
      </w:r>
      <w:r w:rsidR="00F37243" w:rsidRPr="00E12314">
        <w:rPr>
          <w:rFonts w:ascii="Times New Roman" w:hAnsi="Times New Roman"/>
          <w:vertAlign w:val="superscript"/>
        </w:rPr>
        <w:t>0</w:t>
      </w:r>
      <w:r w:rsidR="00F37243" w:rsidRPr="00E12314">
        <w:rPr>
          <w:rFonts w:ascii="Times New Roman" w:hAnsi="Times New Roman"/>
        </w:rPr>
        <w:t>C</w:t>
      </w:r>
      <w:r w:rsidR="00F37243">
        <w:rPr>
          <w:rFonts w:ascii="Times New Roman" w:hAnsi="Times New Roman"/>
        </w:rPr>
        <w:t>)</w:t>
      </w:r>
      <w:r w:rsidR="00F37243" w:rsidRPr="00E12314">
        <w:rPr>
          <w:rFonts w:ascii="Times New Roman" w:hAnsi="Times New Roman"/>
        </w:rPr>
        <w:t xml:space="preserve">. </w:t>
      </w:r>
      <w:r w:rsidRPr="00E12314">
        <w:rPr>
          <w:rFonts w:ascii="Times New Roman" w:hAnsi="Times New Roman"/>
        </w:rPr>
        <w:t>Thí nghiệm chạy theo mẻ, mỗi mẻ chạy 7h; nghỉ 1h để</w:t>
      </w:r>
      <w:r w:rsidR="0083442A">
        <w:rPr>
          <w:rFonts w:ascii="Times New Roman" w:hAnsi="Times New Roman"/>
        </w:rPr>
        <w:t xml:space="preserve"> </w:t>
      </w:r>
      <w:r w:rsidR="004A7BD7" w:rsidRPr="00E12314">
        <w:rPr>
          <w:rFonts w:ascii="Times New Roman" w:hAnsi="Times New Roman"/>
        </w:rPr>
        <w:t>đo thể tích phần bùn lắng trong 60 phút, phần bùn lắng này tiếp tục được sử dụng cho các mẻ sau</w:t>
      </w:r>
      <w:r w:rsidR="004A7BD7">
        <w:rPr>
          <w:rFonts w:ascii="Times New Roman" w:hAnsi="Times New Roman"/>
        </w:rPr>
        <w:t>,</w:t>
      </w:r>
      <w:r w:rsidRPr="00E12314">
        <w:rPr>
          <w:rFonts w:ascii="Times New Roman" w:hAnsi="Times New Roman"/>
        </w:rPr>
        <w:t xml:space="preserve"> gạn phần nướ</w:t>
      </w:r>
      <w:r w:rsidR="004A7BD7">
        <w:rPr>
          <w:rFonts w:ascii="Times New Roman" w:hAnsi="Times New Roman"/>
        </w:rPr>
        <w:t>c trong lấy mẫu phân tích COD</w:t>
      </w:r>
      <w:r w:rsidRPr="00E12314">
        <w:rPr>
          <w:rFonts w:ascii="Times New Roman" w:hAnsi="Times New Roman"/>
        </w:rPr>
        <w:t>; tiến hành liên tục trong 24h/ngày.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521"/>
      </w:tblGrid>
      <w:tr w:rsidR="00E8069B" w:rsidTr="00D30258">
        <w:tc>
          <w:tcPr>
            <w:tcW w:w="4588" w:type="dxa"/>
          </w:tcPr>
          <w:p w:rsidR="00E8069B" w:rsidRDefault="00900D03" w:rsidP="005475BE">
            <w:pPr>
              <w:spacing w:before="60" w:after="60" w:line="280" w:lineRule="atLeast"/>
              <w:jc w:val="both"/>
              <w:rPr>
                <w:rFonts w:ascii="Times New Roman" w:hAnsi="Times New Roman"/>
              </w:rPr>
            </w:pPr>
            <w:r>
              <w:rPr>
                <w:rFonts w:ascii="Times New Roman" w:hAnsi="Times New Roman"/>
                <w:noProof/>
              </w:rPr>
              <w:drawing>
                <wp:inline distT="0" distB="0" distL="0" distR="0">
                  <wp:extent cx="2922558" cy="111953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27091" cy="1121274"/>
                          </a:xfrm>
                          <a:prstGeom prst="rect">
                            <a:avLst/>
                          </a:prstGeom>
                          <a:noFill/>
                          <a:ln w="9525">
                            <a:noFill/>
                            <a:miter lim="800000"/>
                            <a:headEnd/>
                            <a:tailEnd/>
                          </a:ln>
                        </pic:spPr>
                      </pic:pic>
                    </a:graphicData>
                  </a:graphic>
                </wp:inline>
              </w:drawing>
            </w:r>
          </w:p>
        </w:tc>
        <w:tc>
          <w:tcPr>
            <w:tcW w:w="4699" w:type="dxa"/>
          </w:tcPr>
          <w:p w:rsidR="00E8069B" w:rsidRDefault="00900D03" w:rsidP="005475BE">
            <w:pPr>
              <w:spacing w:before="60" w:after="60" w:line="280" w:lineRule="atLeast"/>
              <w:jc w:val="both"/>
              <w:rPr>
                <w:rFonts w:ascii="Times New Roman" w:hAnsi="Times New Roman"/>
              </w:rPr>
            </w:pPr>
            <w:r>
              <w:rPr>
                <w:rFonts w:ascii="Times New Roman" w:hAnsi="Times New Roman"/>
                <w:noProof/>
              </w:rPr>
              <w:drawing>
                <wp:inline distT="0" distB="0" distL="0" distR="0">
                  <wp:extent cx="2755481" cy="1121434"/>
                  <wp:effectExtent l="19050" t="0" r="6769"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761962" cy="1124072"/>
                          </a:xfrm>
                          <a:prstGeom prst="rect">
                            <a:avLst/>
                          </a:prstGeom>
                          <a:noFill/>
                          <a:ln w="9525">
                            <a:noFill/>
                            <a:miter lim="800000"/>
                            <a:headEnd/>
                            <a:tailEnd/>
                          </a:ln>
                        </pic:spPr>
                      </pic:pic>
                    </a:graphicData>
                  </a:graphic>
                </wp:inline>
              </w:drawing>
            </w:r>
          </w:p>
        </w:tc>
      </w:tr>
      <w:tr w:rsidR="00E8069B" w:rsidTr="00D30258">
        <w:tc>
          <w:tcPr>
            <w:tcW w:w="4588" w:type="dxa"/>
          </w:tcPr>
          <w:p w:rsidR="00E8069B" w:rsidRDefault="00D30258" w:rsidP="005475BE">
            <w:pPr>
              <w:spacing w:after="0" w:line="280" w:lineRule="atLeast"/>
              <w:jc w:val="center"/>
              <w:rPr>
                <w:rFonts w:ascii="Times New Roman" w:hAnsi="Times New Roman"/>
              </w:rPr>
            </w:pPr>
            <w:r>
              <w:rPr>
                <w:rFonts w:ascii="Times New Roman" w:hAnsi="Times New Roman"/>
              </w:rPr>
              <w:t>Thí nghiệm 1</w:t>
            </w:r>
          </w:p>
        </w:tc>
        <w:tc>
          <w:tcPr>
            <w:tcW w:w="4699" w:type="dxa"/>
          </w:tcPr>
          <w:p w:rsidR="00E8069B" w:rsidRDefault="00D30258" w:rsidP="005475BE">
            <w:pPr>
              <w:spacing w:after="0" w:line="280" w:lineRule="atLeast"/>
              <w:jc w:val="center"/>
              <w:rPr>
                <w:rFonts w:ascii="Times New Roman" w:hAnsi="Times New Roman"/>
              </w:rPr>
            </w:pPr>
            <w:r>
              <w:rPr>
                <w:rFonts w:ascii="Times New Roman" w:hAnsi="Times New Roman"/>
              </w:rPr>
              <w:t>Thí nghiệm 2</w:t>
            </w:r>
          </w:p>
        </w:tc>
      </w:tr>
      <w:tr w:rsidR="00D30258" w:rsidTr="00D30258">
        <w:tc>
          <w:tcPr>
            <w:tcW w:w="9287" w:type="dxa"/>
            <w:gridSpan w:val="2"/>
          </w:tcPr>
          <w:p w:rsidR="00D30258" w:rsidRDefault="005475BE" w:rsidP="005475BE">
            <w:pPr>
              <w:spacing w:before="120" w:after="0" w:line="280" w:lineRule="atLeast"/>
              <w:jc w:val="center"/>
              <w:rPr>
                <w:rFonts w:ascii="Times New Roman" w:hAnsi="Times New Roman"/>
              </w:rPr>
            </w:pPr>
            <w:r w:rsidRPr="005475BE">
              <w:rPr>
                <w:rFonts w:ascii="Times New Roman" w:hAnsi="Times New Roman"/>
                <w:b/>
              </w:rPr>
              <w:t>Hình 1.</w:t>
            </w:r>
            <w:r w:rsidR="00D30258" w:rsidRPr="00E12314">
              <w:rPr>
                <w:rFonts w:ascii="Times New Roman" w:hAnsi="Times New Roman"/>
              </w:rPr>
              <w:t xml:space="preserve"> Sơ đồ thí nghiệm sử dụng trong nghiên cứu</w:t>
            </w:r>
          </w:p>
        </w:tc>
      </w:tr>
    </w:tbl>
    <w:p w:rsidR="00E54583" w:rsidRPr="00E12314" w:rsidRDefault="00E54583" w:rsidP="005475BE">
      <w:pPr>
        <w:spacing w:before="60" w:after="60" w:line="280" w:lineRule="atLeast"/>
        <w:ind w:firstLine="425"/>
        <w:jc w:val="both"/>
        <w:rPr>
          <w:rFonts w:ascii="Times New Roman" w:hAnsi="Times New Roman"/>
        </w:rPr>
      </w:pPr>
      <w:r w:rsidRPr="00E12314">
        <w:rPr>
          <w:rFonts w:ascii="Times New Roman" w:hAnsi="Times New Roman"/>
        </w:rPr>
        <w:t xml:space="preserve">Thí nghiệm </w:t>
      </w:r>
      <w:r w:rsidR="009D058D">
        <w:rPr>
          <w:rFonts w:ascii="Times New Roman" w:hAnsi="Times New Roman"/>
        </w:rPr>
        <w:t>1</w:t>
      </w:r>
      <w:r w:rsidRPr="00E12314">
        <w:rPr>
          <w:rFonts w:ascii="Times New Roman" w:hAnsi="Times New Roman"/>
        </w:rPr>
        <w:t xml:space="preserve"> được tiến hành trong 7 ngày để</w:t>
      </w:r>
      <w:r w:rsidR="00862F17">
        <w:rPr>
          <w:rFonts w:ascii="Times New Roman" w:hAnsi="Times New Roman"/>
        </w:rPr>
        <w:t xml:space="preserve"> đánh giá khả năng </w:t>
      </w:r>
      <w:r w:rsidRPr="00E12314">
        <w:rPr>
          <w:rFonts w:ascii="Times New Roman" w:hAnsi="Times New Roman"/>
        </w:rPr>
        <w:t xml:space="preserve">thích nghi </w:t>
      </w:r>
      <w:r w:rsidR="00862F17">
        <w:rPr>
          <w:rFonts w:ascii="Times New Roman" w:hAnsi="Times New Roman"/>
        </w:rPr>
        <w:t xml:space="preserve">của </w:t>
      </w:r>
      <w:r w:rsidR="00C65DA6">
        <w:rPr>
          <w:rFonts w:ascii="Times New Roman" w:hAnsi="Times New Roman"/>
        </w:rPr>
        <w:t xml:space="preserve">bùn hoạt </w:t>
      </w:r>
      <w:r w:rsidR="00BF32F7">
        <w:rPr>
          <w:rFonts w:ascii="Times New Roman" w:hAnsi="Times New Roman"/>
        </w:rPr>
        <w:t>tính</w:t>
      </w:r>
      <w:r w:rsidR="00BF32F7" w:rsidRPr="00E12314">
        <w:rPr>
          <w:rFonts w:ascii="Times New Roman" w:hAnsi="Times New Roman"/>
        </w:rPr>
        <w:t xml:space="preserve"> với</w:t>
      </w:r>
      <w:r w:rsidRPr="00E12314">
        <w:rPr>
          <w:rFonts w:ascii="Times New Roman" w:hAnsi="Times New Roman"/>
        </w:rPr>
        <w:t xml:space="preserve"> từng loại nước thải</w:t>
      </w:r>
      <w:r w:rsidR="008508F9">
        <w:rPr>
          <w:rFonts w:ascii="Times New Roman" w:hAnsi="Times New Roman"/>
        </w:rPr>
        <w:t xml:space="preserve"> thông qua chỉ số bùn lắng trong 60 phút</w:t>
      </w:r>
      <w:r w:rsidRPr="00E12314">
        <w:rPr>
          <w:rFonts w:ascii="Times New Roman" w:hAnsi="Times New Roman"/>
        </w:rPr>
        <w:t>. Nước thải cho mỗi thí nghiệm trong giai đoạn thích nghi được</w:t>
      </w:r>
      <w:r w:rsidR="007E5704">
        <w:rPr>
          <w:rFonts w:ascii="Times New Roman" w:hAnsi="Times New Roman"/>
        </w:rPr>
        <w:t xml:space="preserve"> trộn với dung</w:t>
      </w:r>
      <w:r w:rsidRPr="00E12314">
        <w:rPr>
          <w:rFonts w:ascii="Times New Roman" w:hAnsi="Times New Roman"/>
        </w:rPr>
        <w:t xml:space="preserve"> </w:t>
      </w:r>
      <w:r w:rsidR="001A1F95">
        <w:rPr>
          <w:rFonts w:ascii="Times New Roman" w:hAnsi="Times New Roman"/>
        </w:rPr>
        <w:t>dịch</w:t>
      </w:r>
      <w:r w:rsidRPr="00E12314">
        <w:rPr>
          <w:rFonts w:ascii="Times New Roman" w:hAnsi="Times New Roman"/>
        </w:rPr>
        <w:t xml:space="preserve"> đường (nồng độ 1 g/L)</w:t>
      </w:r>
      <w:r w:rsidR="004A7BD7">
        <w:rPr>
          <w:rFonts w:ascii="Times New Roman" w:hAnsi="Times New Roman"/>
        </w:rPr>
        <w:t>.T</w:t>
      </w:r>
      <w:r w:rsidRPr="00E12314">
        <w:rPr>
          <w:rFonts w:ascii="Times New Roman" w:hAnsi="Times New Roman"/>
        </w:rPr>
        <w:t xml:space="preserve">rong 4 ngày đầu, chọn tỷ lệ mỗi loại nước thải và </w:t>
      </w:r>
      <w:r w:rsidR="001A1F95">
        <w:rPr>
          <w:rFonts w:ascii="Times New Roman" w:hAnsi="Times New Roman"/>
        </w:rPr>
        <w:t>dịch</w:t>
      </w:r>
      <w:r w:rsidRPr="00E12314">
        <w:rPr>
          <w:rFonts w:ascii="Times New Roman" w:hAnsi="Times New Roman"/>
        </w:rPr>
        <w:t xml:space="preserve"> đường là 1:1</w:t>
      </w:r>
      <w:r w:rsidR="004A7BD7">
        <w:rPr>
          <w:rFonts w:ascii="Times New Roman" w:hAnsi="Times New Roman"/>
        </w:rPr>
        <w:t>.</w:t>
      </w:r>
      <w:r w:rsidR="0083442A">
        <w:rPr>
          <w:rFonts w:ascii="Times New Roman" w:hAnsi="Times New Roman"/>
        </w:rPr>
        <w:t xml:space="preserve"> </w:t>
      </w:r>
      <w:r w:rsidR="004A7BD7">
        <w:rPr>
          <w:rFonts w:ascii="Times New Roman" w:hAnsi="Times New Roman"/>
        </w:rPr>
        <w:t>T</w:t>
      </w:r>
      <w:r w:rsidRPr="00E12314">
        <w:rPr>
          <w:rFonts w:ascii="Times New Roman" w:hAnsi="Times New Roman"/>
        </w:rPr>
        <w:t xml:space="preserve">rong 3 ngày tiếp theo, chọn tỷ lệ mỗi loại nước thải và </w:t>
      </w:r>
      <w:r w:rsidR="001A1F95">
        <w:rPr>
          <w:rFonts w:ascii="Times New Roman" w:hAnsi="Times New Roman"/>
        </w:rPr>
        <w:t>dịch</w:t>
      </w:r>
      <w:r w:rsidRPr="00E12314">
        <w:rPr>
          <w:rFonts w:ascii="Times New Roman" w:hAnsi="Times New Roman"/>
        </w:rPr>
        <w:t xml:space="preserve"> đường là 3:1.</w:t>
      </w:r>
    </w:p>
    <w:p w:rsidR="00E54583" w:rsidRPr="00E12314" w:rsidRDefault="00E54583" w:rsidP="005475BE">
      <w:pPr>
        <w:spacing w:before="60" w:after="60" w:line="280" w:lineRule="atLeast"/>
        <w:ind w:firstLine="425"/>
        <w:jc w:val="both"/>
        <w:rPr>
          <w:rFonts w:ascii="Times New Roman" w:hAnsi="Times New Roman"/>
        </w:rPr>
      </w:pPr>
      <w:r w:rsidRPr="00E12314">
        <w:rPr>
          <w:rFonts w:ascii="Times New Roman" w:hAnsi="Times New Roman"/>
        </w:rPr>
        <w:t xml:space="preserve">Thí nghiệm </w:t>
      </w:r>
      <w:r w:rsidR="009D058D">
        <w:rPr>
          <w:rFonts w:ascii="Times New Roman" w:hAnsi="Times New Roman"/>
        </w:rPr>
        <w:t>2</w:t>
      </w:r>
      <w:r w:rsidRPr="00E12314">
        <w:rPr>
          <w:rFonts w:ascii="Times New Roman" w:hAnsi="Times New Roman"/>
        </w:rPr>
        <w:t xml:space="preserve"> được tiến hành</w:t>
      </w:r>
      <w:r w:rsidR="0083442A">
        <w:rPr>
          <w:rFonts w:ascii="Times New Roman" w:hAnsi="Times New Roman"/>
        </w:rPr>
        <w:t xml:space="preserve"> </w:t>
      </w:r>
      <w:r w:rsidRPr="00E12314">
        <w:rPr>
          <w:rFonts w:ascii="Times New Roman" w:hAnsi="Times New Roman"/>
        </w:rPr>
        <w:t xml:space="preserve">để đánh giá hiệu quả xử lý của </w:t>
      </w:r>
      <w:r w:rsidR="00C65DA6">
        <w:rPr>
          <w:rFonts w:ascii="Times New Roman" w:hAnsi="Times New Roman"/>
        </w:rPr>
        <w:t>bùn hoạt tính</w:t>
      </w:r>
      <w:r w:rsidR="00F37243">
        <w:rPr>
          <w:rFonts w:ascii="Times New Roman" w:hAnsi="Times New Roman"/>
        </w:rPr>
        <w:t xml:space="preserve"> trên</w:t>
      </w:r>
      <w:r w:rsidR="0088690F">
        <w:rPr>
          <w:rFonts w:ascii="Times New Roman" w:hAnsi="Times New Roman"/>
        </w:rPr>
        <w:t xml:space="preserve"> thông qua giá trị COD</w:t>
      </w:r>
      <w:r w:rsidRPr="00E12314">
        <w:rPr>
          <w:rFonts w:ascii="Times New Roman" w:hAnsi="Times New Roman"/>
        </w:rPr>
        <w:t>.</w:t>
      </w:r>
      <w:r w:rsidR="005401A8">
        <w:rPr>
          <w:rFonts w:ascii="Times New Roman" w:hAnsi="Times New Roman"/>
        </w:rPr>
        <w:t xml:space="preserve"> Một cốc chứa nước thải đã được kh</w:t>
      </w:r>
      <w:r w:rsidRPr="00E12314">
        <w:rPr>
          <w:rFonts w:ascii="Times New Roman" w:hAnsi="Times New Roman"/>
        </w:rPr>
        <w:t>ử độ</w:t>
      </w:r>
      <w:r w:rsidR="005401A8">
        <w:rPr>
          <w:rFonts w:ascii="Times New Roman" w:hAnsi="Times New Roman"/>
        </w:rPr>
        <w:t>c (chất độc trong nước thải chính là hóa chất công ty sử dụng tẩm vào vải với mục đích đuổi muỗi)</w:t>
      </w:r>
      <w:r w:rsidRPr="00E12314">
        <w:rPr>
          <w:rFonts w:ascii="Times New Roman" w:hAnsi="Times New Roman"/>
        </w:rPr>
        <w:t xml:space="preserve"> bổ sung than hoạt tính dạng </w:t>
      </w:r>
      <w:r w:rsidR="001A1F95">
        <w:rPr>
          <w:rFonts w:ascii="Times New Roman" w:hAnsi="Times New Roman"/>
        </w:rPr>
        <w:t>bột</w:t>
      </w:r>
      <w:r w:rsidRPr="00E12314">
        <w:rPr>
          <w:rFonts w:ascii="Times New Roman" w:hAnsi="Times New Roman"/>
        </w:rPr>
        <w:t xml:space="preserve">, một cốc chứa </w:t>
      </w:r>
      <w:r w:rsidR="00E56AC8" w:rsidRPr="00E12314">
        <w:rPr>
          <w:rFonts w:ascii="Times New Roman" w:hAnsi="Times New Roman"/>
        </w:rPr>
        <w:t xml:space="preserve">nước thải </w:t>
      </w:r>
      <w:r w:rsidR="001A1F95">
        <w:rPr>
          <w:rFonts w:ascii="Times New Roman" w:hAnsi="Times New Roman"/>
        </w:rPr>
        <w:t>chưa</w:t>
      </w:r>
      <w:r w:rsidR="00E56AC8" w:rsidRPr="00E12314">
        <w:rPr>
          <w:rFonts w:ascii="Times New Roman" w:hAnsi="Times New Roman"/>
        </w:rPr>
        <w:t xml:space="preserve"> khử độc</w:t>
      </w:r>
      <w:r w:rsidR="00E56AC8">
        <w:rPr>
          <w:rFonts w:ascii="Times New Roman" w:hAnsi="Times New Roman"/>
        </w:rPr>
        <w:t xml:space="preserve"> không có than hoạt tính</w:t>
      </w:r>
      <w:r w:rsidRPr="00E12314">
        <w:rPr>
          <w:rFonts w:ascii="Times New Roman" w:hAnsi="Times New Roman"/>
        </w:rPr>
        <w:t xml:space="preserve">. Trong mỗi cốc vẫn chứa bùn hoạt tính đã được </w:t>
      </w:r>
      <w:r w:rsidR="00ED578F">
        <w:rPr>
          <w:rFonts w:ascii="Times New Roman" w:hAnsi="Times New Roman"/>
        </w:rPr>
        <w:t xml:space="preserve">thích nghi ở </w:t>
      </w:r>
      <w:r w:rsidR="001A1F95">
        <w:rPr>
          <w:rFonts w:ascii="Times New Roman" w:hAnsi="Times New Roman"/>
        </w:rPr>
        <w:t>thí nghiệm 1</w:t>
      </w:r>
      <w:r w:rsidRPr="00E12314">
        <w:rPr>
          <w:rFonts w:ascii="Times New Roman" w:hAnsi="Times New Roman"/>
        </w:rPr>
        <w:t>. Nước thải mỗi loại được bổ sung để tổng thể tích nước thải của mỗi cốc là 1L</w:t>
      </w:r>
      <w:r w:rsidR="000711CB">
        <w:rPr>
          <w:rFonts w:ascii="Times New Roman" w:hAnsi="Times New Roman"/>
        </w:rPr>
        <w:t>.</w:t>
      </w:r>
      <w:r w:rsidR="00C97DFE">
        <w:rPr>
          <w:rFonts w:ascii="Times New Roman" w:hAnsi="Times New Roman"/>
        </w:rPr>
        <w:t xml:space="preserve"> Ở đây chúng tôi không đưa ra thí nghiệm đối với nước thải chưa khử độc có bổ sung than hoạt tính vì các kết quả cho thấy hiệu quả xử lý sinh học đối với nước thải chưa khử độc thấp, nếu bổ sung thêm than hoạt tính thì hiệu quả kinh tế không cao, khó áp dụng.</w:t>
      </w:r>
    </w:p>
    <w:p w:rsidR="00E54583" w:rsidRPr="00E12314" w:rsidRDefault="00E54583" w:rsidP="005475BE">
      <w:pPr>
        <w:spacing w:before="240" w:after="60" w:line="280" w:lineRule="atLeast"/>
        <w:jc w:val="both"/>
        <w:rPr>
          <w:rFonts w:ascii="Times New Roman" w:hAnsi="Times New Roman"/>
          <w:b/>
        </w:rPr>
      </w:pPr>
      <w:r w:rsidRPr="00E12314">
        <w:rPr>
          <w:rFonts w:ascii="Times New Roman" w:hAnsi="Times New Roman"/>
          <w:b/>
        </w:rPr>
        <w:t>3. Kết quả và thảo luận</w:t>
      </w:r>
    </w:p>
    <w:p w:rsidR="00E54583" w:rsidRPr="00AD5C4A" w:rsidRDefault="00E54583" w:rsidP="005475BE">
      <w:pPr>
        <w:spacing w:before="60" w:after="120" w:line="280" w:lineRule="atLeast"/>
        <w:jc w:val="both"/>
        <w:rPr>
          <w:rFonts w:ascii="Times New Roman" w:hAnsi="Times New Roman"/>
          <w:b/>
          <w:i/>
        </w:rPr>
      </w:pPr>
      <w:r w:rsidRPr="00AD5C4A">
        <w:rPr>
          <w:rFonts w:ascii="Times New Roman" w:hAnsi="Times New Roman"/>
          <w:b/>
          <w:i/>
        </w:rPr>
        <w:t xml:space="preserve">Đánh giá </w:t>
      </w:r>
      <w:r w:rsidR="00C65DA6">
        <w:rPr>
          <w:rFonts w:ascii="Times New Roman" w:hAnsi="Times New Roman"/>
          <w:b/>
          <w:i/>
        </w:rPr>
        <w:t>khả năng thích nghi của bùn hoạt tính</w:t>
      </w:r>
    </w:p>
    <w:p w:rsidR="00E54583" w:rsidRPr="00E12314" w:rsidRDefault="00E54583" w:rsidP="005475BE">
      <w:pPr>
        <w:spacing w:before="60" w:after="60" w:line="280" w:lineRule="atLeast"/>
        <w:ind w:firstLine="426"/>
        <w:jc w:val="both"/>
        <w:rPr>
          <w:rFonts w:ascii="Times New Roman" w:hAnsi="Times New Roman"/>
        </w:rPr>
      </w:pPr>
      <w:r w:rsidRPr="00E12314">
        <w:rPr>
          <w:rFonts w:ascii="Times New Roman" w:hAnsi="Times New Roman"/>
        </w:rPr>
        <w:t xml:space="preserve">Trong thí nghiệm </w:t>
      </w:r>
      <w:r w:rsidR="008508F9">
        <w:rPr>
          <w:rFonts w:ascii="Times New Roman" w:hAnsi="Times New Roman"/>
        </w:rPr>
        <w:t>đánh giá khả năng bùn thích nghi với nước thải chưa khử độc và nước thải đã khử độc</w:t>
      </w:r>
      <w:r w:rsidRPr="00E12314">
        <w:rPr>
          <w:rFonts w:ascii="Times New Roman" w:hAnsi="Times New Roman"/>
        </w:rPr>
        <w:t xml:space="preserve">, để tạo điều kiện để vi khuẩn hiếu khí thích nghi tốt, trong thí nghiệm bổ sung thêm dịch đường (nồng độ 1g/L) là thức ăn dễ tiêu của vi khuẩn để chúng có thể sinh trưởng và phát triển nhanh hơn. Trong 4 ngày đầu, tức từ mẻ 1 đến mẻ 12, tỷ lệ nước thải và dịch đường là 1:1; từ mẻ 13 đến mẻ </w:t>
      </w:r>
      <w:r w:rsidRPr="00E12314">
        <w:rPr>
          <w:rFonts w:ascii="Times New Roman" w:hAnsi="Times New Roman"/>
        </w:rPr>
        <w:lastRenderedPageBreak/>
        <w:t>21, tỷ lệ nước thải và dịch đường là 3:1.</w:t>
      </w:r>
      <w:r w:rsidR="008508F9">
        <w:rPr>
          <w:rFonts w:ascii="Times New Roman" w:hAnsi="Times New Roman"/>
        </w:rPr>
        <w:t xml:space="preserve"> Sự sinh trưởng và phát triển của bùn hoạt tính thông qua chỉ số thể tích bùn lắng được biểu diễn trên hình 2 và hình 3.</w:t>
      </w:r>
    </w:p>
    <w:p w:rsidR="00E54583" w:rsidRPr="00E12314" w:rsidRDefault="00E54583" w:rsidP="005475BE">
      <w:pPr>
        <w:spacing w:before="60" w:after="60" w:line="280" w:lineRule="atLeast"/>
        <w:ind w:firstLine="426"/>
        <w:jc w:val="both"/>
        <w:rPr>
          <w:rFonts w:ascii="Times New Roman" w:hAnsi="Times New Roman"/>
        </w:rPr>
      </w:pPr>
      <w:r w:rsidRPr="00E12314">
        <w:rPr>
          <w:rFonts w:ascii="Times New Roman" w:hAnsi="Times New Roman"/>
        </w:rPr>
        <w:t xml:space="preserve"> Đối với nước thải chưa được khử độc: từ mẻ 2 đến mẻ 4, thể tích bùn có xu hướng tăng nhưng từ mẻ số 5 đến mẻ số 8, thể tích bùn có xu hướng giảm (hình 2). Bổ sung thêm bùn để đạt thể tích bùn là 100mL ở mẻ số 9, thể tích bùn ổn định đến mẻ số 12 lại bắt đầu có xu hướng giảm dần. Như vậy, có thể thấy trong nước thải này có thành phần </w:t>
      </w:r>
      <w:r w:rsidR="00710844">
        <w:rPr>
          <w:rFonts w:ascii="Times New Roman" w:hAnsi="Times New Roman"/>
        </w:rPr>
        <w:t xml:space="preserve"> </w:t>
      </w:r>
      <w:r w:rsidRPr="00E12314">
        <w:rPr>
          <w:rFonts w:ascii="Times New Roman" w:hAnsi="Times New Roman"/>
        </w:rPr>
        <w:t>nào đó gây ức chế quá trình sinh trưởng và phát triển của vi khuẩn.</w:t>
      </w:r>
    </w:p>
    <w:p w:rsidR="00E54583" w:rsidRDefault="00E54583" w:rsidP="005475BE">
      <w:pPr>
        <w:spacing w:before="60" w:after="60" w:line="280" w:lineRule="atLeast"/>
        <w:ind w:firstLine="426"/>
        <w:jc w:val="both"/>
        <w:rPr>
          <w:rFonts w:ascii="Times New Roman" w:hAnsi="Times New Roman"/>
        </w:rPr>
      </w:pPr>
      <w:r w:rsidRPr="00E12314">
        <w:rPr>
          <w:rFonts w:ascii="Times New Roman" w:hAnsi="Times New Roman"/>
        </w:rPr>
        <w:t>Đối với nư</w:t>
      </w:r>
      <w:r w:rsidR="001A1F95">
        <w:rPr>
          <w:rFonts w:ascii="Times New Roman" w:hAnsi="Times New Roman"/>
        </w:rPr>
        <w:t xml:space="preserve">ớc thải đã </w:t>
      </w:r>
      <w:r w:rsidRPr="00E12314">
        <w:rPr>
          <w:rFonts w:ascii="Times New Roman" w:hAnsi="Times New Roman"/>
        </w:rPr>
        <w:t>khử độc và có bổ sung than hoạt tính dạng bột để tăng khả năng tiếp xúc: từ mẻ 1 đến mẻ 12, thể tích bùn vi sinh có xu hướng tăng chứng tỏ vi khuẩn hiếu khí có khả năng phát triển tốt. Nên từ mẻ thứ 13 trở đi, để đánh giá khả năng thích nghi của vi khuẩn này, chúng tôi tăng lượng nước thải sao cho tỉ lệ nước thải và dịch đường là 3:1. Kết quả thí nghiệm cho thấy, thể tích bùn vi sinh vẫn tiếp tục tăng, chứng tỏ sinh khối của vi sinh hoạt động ổn định, bùn có hoạt tính tốt (hình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83"/>
      </w:tblGrid>
      <w:tr w:rsidR="00C40370" w:rsidTr="00212504">
        <w:trPr>
          <w:jc w:val="center"/>
        </w:trPr>
        <w:tc>
          <w:tcPr>
            <w:tcW w:w="4361" w:type="dxa"/>
          </w:tcPr>
          <w:p w:rsidR="00C40370" w:rsidRDefault="00B7713B" w:rsidP="005475BE">
            <w:pPr>
              <w:spacing w:before="60" w:after="60" w:line="280" w:lineRule="atLeast"/>
              <w:jc w:val="both"/>
              <w:rPr>
                <w:rFonts w:ascii="Times New Roman" w:hAnsi="Times New Roman"/>
                <w:color w:val="FF0000"/>
              </w:rPr>
            </w:pPr>
            <w:r w:rsidRPr="00B7713B">
              <w:rPr>
                <w:rFonts w:ascii="Times New Roman" w:hAnsi="Times New Roman"/>
                <w:noProof/>
                <w:color w:val="FF0000"/>
              </w:rPr>
              <w:drawing>
                <wp:inline distT="0" distB="0" distL="0" distR="0">
                  <wp:extent cx="2631881" cy="158231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383" w:type="dxa"/>
          </w:tcPr>
          <w:p w:rsidR="00C40370" w:rsidRDefault="00B96E33" w:rsidP="005475BE">
            <w:pPr>
              <w:spacing w:before="60" w:after="60" w:line="280" w:lineRule="atLeast"/>
              <w:jc w:val="both"/>
              <w:rPr>
                <w:rFonts w:ascii="Times New Roman" w:hAnsi="Times New Roman"/>
                <w:color w:val="FF0000"/>
              </w:rPr>
            </w:pPr>
            <w:r w:rsidRPr="00B96E33">
              <w:rPr>
                <w:rFonts w:ascii="Times New Roman" w:hAnsi="Times New Roman"/>
                <w:noProof/>
                <w:color w:val="FF0000"/>
              </w:rPr>
              <w:drawing>
                <wp:inline distT="0" distB="0" distL="0" distR="0">
                  <wp:extent cx="2584173" cy="1582310"/>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40370" w:rsidTr="00212504">
        <w:trPr>
          <w:jc w:val="center"/>
        </w:trPr>
        <w:tc>
          <w:tcPr>
            <w:tcW w:w="4361" w:type="dxa"/>
          </w:tcPr>
          <w:p w:rsidR="00C40370" w:rsidRPr="005F7BE6" w:rsidRDefault="005F7BE6" w:rsidP="005475BE">
            <w:pPr>
              <w:spacing w:before="60" w:after="60" w:line="280" w:lineRule="atLeast"/>
              <w:jc w:val="center"/>
              <w:rPr>
                <w:rFonts w:ascii="Times New Roman" w:hAnsi="Times New Roman"/>
              </w:rPr>
            </w:pPr>
            <w:r w:rsidRPr="005475BE">
              <w:rPr>
                <w:rFonts w:ascii="Times New Roman" w:hAnsi="Times New Roman"/>
                <w:b/>
              </w:rPr>
              <w:t>Hình 2</w:t>
            </w:r>
            <w:r w:rsidR="005475BE" w:rsidRPr="005475BE">
              <w:rPr>
                <w:rFonts w:ascii="Times New Roman" w:hAnsi="Times New Roman"/>
                <w:b/>
              </w:rPr>
              <w:t>.</w:t>
            </w:r>
            <w:r w:rsidRPr="00E12314">
              <w:rPr>
                <w:rFonts w:ascii="Times New Roman" w:hAnsi="Times New Roman"/>
              </w:rPr>
              <w:t xml:space="preserve"> Thể tích bùn sau lắng 60 phút của nước thải </w:t>
            </w:r>
            <w:r w:rsidR="00D93DF6">
              <w:rPr>
                <w:rFonts w:ascii="Times New Roman" w:hAnsi="Times New Roman"/>
              </w:rPr>
              <w:t>chưa khử độc</w:t>
            </w:r>
          </w:p>
        </w:tc>
        <w:tc>
          <w:tcPr>
            <w:tcW w:w="4383" w:type="dxa"/>
          </w:tcPr>
          <w:p w:rsidR="00C40370" w:rsidRPr="005F7BE6" w:rsidRDefault="005F7BE6" w:rsidP="005475BE">
            <w:pPr>
              <w:spacing w:before="60" w:after="60" w:line="280" w:lineRule="atLeast"/>
              <w:jc w:val="center"/>
              <w:rPr>
                <w:rFonts w:ascii="Times New Roman" w:hAnsi="Times New Roman"/>
              </w:rPr>
            </w:pPr>
            <w:r w:rsidRPr="005475BE">
              <w:rPr>
                <w:rFonts w:ascii="Times New Roman" w:hAnsi="Times New Roman"/>
                <w:b/>
              </w:rPr>
              <w:t>Hình 3</w:t>
            </w:r>
            <w:r w:rsidR="005475BE" w:rsidRPr="005475BE">
              <w:rPr>
                <w:rFonts w:ascii="Times New Roman" w:hAnsi="Times New Roman"/>
                <w:b/>
              </w:rPr>
              <w:t>.</w:t>
            </w:r>
            <w:r w:rsidRPr="00E12314">
              <w:rPr>
                <w:rFonts w:ascii="Times New Roman" w:hAnsi="Times New Roman"/>
              </w:rPr>
              <w:t xml:space="preserve"> Thể tích bùn sau lắng 60 phút đối với nước thải </w:t>
            </w:r>
            <w:r w:rsidR="00D93DF6">
              <w:rPr>
                <w:rFonts w:ascii="Times New Roman" w:hAnsi="Times New Roman"/>
              </w:rPr>
              <w:t xml:space="preserve">đã </w:t>
            </w:r>
            <w:r w:rsidRPr="00E12314">
              <w:rPr>
                <w:rFonts w:ascii="Times New Roman" w:hAnsi="Times New Roman"/>
              </w:rPr>
              <w:t>khử độc</w:t>
            </w:r>
          </w:p>
        </w:tc>
      </w:tr>
    </w:tbl>
    <w:p w:rsidR="00937604" w:rsidRDefault="00BD1AB0" w:rsidP="00937604">
      <w:pPr>
        <w:spacing w:before="120" w:after="120" w:line="280" w:lineRule="atLeast"/>
        <w:jc w:val="center"/>
        <w:rPr>
          <w:rFonts w:ascii="Times New Roman" w:hAnsi="Times New Roman"/>
          <w:b/>
          <w:i/>
        </w:rPr>
      </w:pPr>
      <w:r w:rsidRPr="00AD5C4A">
        <w:rPr>
          <w:rFonts w:ascii="Times New Roman" w:hAnsi="Times New Roman"/>
          <w:b/>
          <w:i/>
        </w:rPr>
        <w:t xml:space="preserve">Đánh giá khả năng xử lý của </w:t>
      </w:r>
      <w:r w:rsidR="00AD5C4A" w:rsidRPr="00AD5C4A">
        <w:rPr>
          <w:rFonts w:ascii="Times New Roman" w:hAnsi="Times New Roman"/>
          <w:b/>
          <w:i/>
        </w:rPr>
        <w:t xml:space="preserve">bùn hoạt tính </w:t>
      </w:r>
      <w:r w:rsidR="00937604">
        <w:rPr>
          <w:rFonts w:ascii="Times New Roman" w:hAnsi="Times New Roman"/>
          <w:b/>
          <w:i/>
        </w:rPr>
        <w:t>trong thí nghiệm</w:t>
      </w:r>
    </w:p>
    <w:p w:rsidR="00BD1AB0" w:rsidRPr="00AD5C4A" w:rsidRDefault="002A4D6C" w:rsidP="00937604">
      <w:pPr>
        <w:spacing w:before="120" w:after="120" w:line="280" w:lineRule="atLeast"/>
        <w:jc w:val="center"/>
        <w:rPr>
          <w:rFonts w:ascii="Times New Roman" w:hAnsi="Times New Roman"/>
          <w:b/>
          <w:i/>
        </w:rPr>
      </w:pPr>
      <w:r>
        <w:rPr>
          <w:rFonts w:ascii="Times New Roman" w:hAnsi="Times New Roman"/>
          <w:b/>
          <w:i/>
        </w:rPr>
        <w:t xml:space="preserve">nước thải </w:t>
      </w:r>
      <w:r w:rsidR="00540A54">
        <w:rPr>
          <w:rFonts w:ascii="Times New Roman" w:hAnsi="Times New Roman"/>
          <w:b/>
          <w:i/>
        </w:rPr>
        <w:t xml:space="preserve">đã </w:t>
      </w:r>
      <w:r>
        <w:rPr>
          <w:rFonts w:ascii="Times New Roman" w:hAnsi="Times New Roman"/>
          <w:b/>
          <w:i/>
        </w:rPr>
        <w:t xml:space="preserve">khử độc </w:t>
      </w:r>
      <w:r w:rsidR="00B96E33">
        <w:rPr>
          <w:rFonts w:ascii="Times New Roman" w:hAnsi="Times New Roman"/>
          <w:b/>
          <w:i/>
        </w:rPr>
        <w:t xml:space="preserve">với </w:t>
      </w:r>
      <w:r w:rsidR="00AD5C4A" w:rsidRPr="00AD5C4A">
        <w:rPr>
          <w:rFonts w:ascii="Times New Roman" w:hAnsi="Times New Roman"/>
          <w:b/>
          <w:i/>
        </w:rPr>
        <w:t>than hoạt tín</w:t>
      </w:r>
      <w:r w:rsidR="00937604">
        <w:rPr>
          <w:rFonts w:ascii="Times New Roman" w:hAnsi="Times New Roman"/>
          <w:b/>
          <w:i/>
        </w:rPr>
        <w:t>h</w:t>
      </w:r>
    </w:p>
    <w:p w:rsidR="00767885" w:rsidRDefault="00AD5C4A" w:rsidP="005475BE">
      <w:pPr>
        <w:spacing w:before="60" w:after="60" w:line="280" w:lineRule="atLeast"/>
        <w:ind w:firstLine="426"/>
        <w:jc w:val="both"/>
        <w:rPr>
          <w:rFonts w:ascii="Times New Roman" w:hAnsi="Times New Roman"/>
        </w:rPr>
      </w:pPr>
      <w:r>
        <w:rPr>
          <w:rFonts w:ascii="Times New Roman" w:hAnsi="Times New Roman"/>
        </w:rPr>
        <w:t>Quá trình</w:t>
      </w:r>
      <w:r w:rsidR="005475BE">
        <w:rPr>
          <w:rFonts w:ascii="Times New Roman" w:hAnsi="Times New Roman"/>
        </w:rPr>
        <w:t xml:space="preserve"> </w:t>
      </w:r>
      <w:r w:rsidR="00796528" w:rsidRPr="00E12314">
        <w:rPr>
          <w:rFonts w:ascii="Times New Roman" w:hAnsi="Times New Roman"/>
        </w:rPr>
        <w:t xml:space="preserve">thí nghiệm </w:t>
      </w:r>
      <w:r w:rsidR="009D26FB">
        <w:rPr>
          <w:rFonts w:ascii="Times New Roman" w:hAnsi="Times New Roman"/>
        </w:rPr>
        <w:t xml:space="preserve">trên được </w:t>
      </w:r>
      <w:r w:rsidR="00796528" w:rsidRPr="00E12314">
        <w:rPr>
          <w:rFonts w:ascii="Times New Roman" w:hAnsi="Times New Roman"/>
        </w:rPr>
        <w:t>thực hiện</w:t>
      </w:r>
      <w:r w:rsidR="00D93DF6">
        <w:rPr>
          <w:rFonts w:ascii="Times New Roman" w:hAnsi="Times New Roman"/>
        </w:rPr>
        <w:t xml:space="preserve"> tiếp</w:t>
      </w:r>
      <w:r w:rsidR="00796528" w:rsidRPr="00E12314">
        <w:rPr>
          <w:rFonts w:ascii="Times New Roman" w:hAnsi="Times New Roman"/>
        </w:rPr>
        <w:t xml:space="preserve"> trong 15 ngày, </w:t>
      </w:r>
      <w:r w:rsidR="00015CD2" w:rsidRPr="00E12314">
        <w:rPr>
          <w:rFonts w:ascii="Times New Roman" w:hAnsi="Times New Roman"/>
        </w:rPr>
        <w:t xml:space="preserve">diễn biến COD sau xử lý bằng kỹ thuật </w:t>
      </w:r>
      <w:r>
        <w:rPr>
          <w:rFonts w:ascii="Times New Roman" w:hAnsi="Times New Roman"/>
        </w:rPr>
        <w:t>bùn hoạt tính có bổ sung than hoạt tính</w:t>
      </w:r>
      <w:r w:rsidR="00AC7B18">
        <w:rPr>
          <w:rFonts w:ascii="Times New Roman" w:hAnsi="Times New Roman"/>
        </w:rPr>
        <w:t xml:space="preserve"> với nước thải đã khử độc</w:t>
      </w:r>
      <w:r>
        <w:rPr>
          <w:rFonts w:ascii="Times New Roman" w:hAnsi="Times New Roman"/>
        </w:rPr>
        <w:t xml:space="preserve"> và không bổ sung than hoạt tính</w:t>
      </w:r>
      <w:r w:rsidR="00B96E33">
        <w:rPr>
          <w:rFonts w:ascii="Times New Roman" w:hAnsi="Times New Roman"/>
        </w:rPr>
        <w:t xml:space="preserve"> với nước thải </w:t>
      </w:r>
      <w:r w:rsidR="00AC7B18">
        <w:rPr>
          <w:rFonts w:ascii="Times New Roman" w:hAnsi="Times New Roman"/>
        </w:rPr>
        <w:t>chưa</w:t>
      </w:r>
      <w:r w:rsidR="00B96E33">
        <w:rPr>
          <w:rFonts w:ascii="Times New Roman" w:hAnsi="Times New Roman"/>
        </w:rPr>
        <w:t xml:space="preserve"> được khử độc</w:t>
      </w:r>
      <w:r w:rsidR="00015CD2" w:rsidRPr="00E12314">
        <w:rPr>
          <w:rFonts w:ascii="Times New Roman" w:hAnsi="Times New Roman"/>
        </w:rPr>
        <w:t xml:space="preserve"> được biểu diễn như hình 4</w:t>
      </w:r>
      <w:r>
        <w:rPr>
          <w:rFonts w:ascii="Times New Roman" w:hAnsi="Times New Roman"/>
        </w:rPr>
        <w:t xml:space="preserve"> và hình 5</w:t>
      </w:r>
      <w:r w:rsidR="00710844">
        <w:rPr>
          <w:rFonts w:ascii="Times New Roman" w:hAnsi="Times New Roma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558"/>
      </w:tblGrid>
      <w:tr w:rsidR="00816595" w:rsidTr="00E54583">
        <w:trPr>
          <w:jc w:val="center"/>
        </w:trPr>
        <w:tc>
          <w:tcPr>
            <w:tcW w:w="4521" w:type="dxa"/>
          </w:tcPr>
          <w:p w:rsidR="00816595" w:rsidRDefault="00E54583" w:rsidP="005475BE">
            <w:pPr>
              <w:spacing w:before="60" w:after="60" w:line="280" w:lineRule="atLeast"/>
              <w:jc w:val="both"/>
              <w:rPr>
                <w:rFonts w:ascii="Times New Roman" w:hAnsi="Times New Roman"/>
              </w:rPr>
            </w:pPr>
            <w:r w:rsidRPr="00E54583">
              <w:rPr>
                <w:rFonts w:ascii="Times New Roman" w:hAnsi="Times New Roman"/>
                <w:noProof/>
              </w:rPr>
              <w:drawing>
                <wp:inline distT="0" distB="0" distL="0" distR="0" wp14:anchorId="5EA14E07" wp14:editId="6D3B4CDD">
                  <wp:extent cx="2941983" cy="1812897"/>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671" w:type="dxa"/>
          </w:tcPr>
          <w:p w:rsidR="00816595" w:rsidRDefault="00E1603A" w:rsidP="005475BE">
            <w:pPr>
              <w:spacing w:before="60" w:after="60" w:line="280" w:lineRule="atLeast"/>
              <w:jc w:val="both"/>
              <w:rPr>
                <w:rFonts w:ascii="Times New Roman" w:hAnsi="Times New Roman"/>
              </w:rPr>
            </w:pPr>
            <w:r w:rsidRPr="00E1603A">
              <w:rPr>
                <w:rFonts w:ascii="Times New Roman" w:hAnsi="Times New Roman"/>
                <w:noProof/>
              </w:rPr>
              <w:drawing>
                <wp:inline distT="0" distB="0" distL="0" distR="0" wp14:anchorId="1700B0D3" wp14:editId="108C4FC5">
                  <wp:extent cx="2828925" cy="180975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16595" w:rsidTr="00E54583">
        <w:trPr>
          <w:jc w:val="center"/>
        </w:trPr>
        <w:tc>
          <w:tcPr>
            <w:tcW w:w="4521" w:type="dxa"/>
          </w:tcPr>
          <w:p w:rsidR="00816595" w:rsidRDefault="00816595" w:rsidP="005475BE">
            <w:pPr>
              <w:spacing w:before="60" w:after="60" w:line="280" w:lineRule="atLeast"/>
              <w:jc w:val="center"/>
              <w:rPr>
                <w:rFonts w:ascii="Times New Roman" w:hAnsi="Times New Roman"/>
              </w:rPr>
            </w:pPr>
            <w:bookmarkStart w:id="2" w:name="_Toc449618289"/>
            <w:bookmarkStart w:id="3" w:name="_Toc449652733"/>
            <w:r w:rsidRPr="005475BE">
              <w:rPr>
                <w:rFonts w:ascii="Times New Roman" w:hAnsi="Times New Roman"/>
                <w:b/>
              </w:rPr>
              <w:t>Hình 4</w:t>
            </w:r>
            <w:r w:rsidR="005475BE" w:rsidRPr="005475BE">
              <w:rPr>
                <w:rFonts w:ascii="Times New Roman" w:hAnsi="Times New Roman"/>
                <w:b/>
              </w:rPr>
              <w:t>.</w:t>
            </w:r>
            <w:r w:rsidRPr="00E12314">
              <w:rPr>
                <w:rFonts w:ascii="Times New Roman" w:hAnsi="Times New Roman"/>
              </w:rPr>
              <w:t xml:space="preserve"> Hiệu quả xử lý COD</w:t>
            </w:r>
            <w:bookmarkEnd w:id="2"/>
            <w:bookmarkEnd w:id="3"/>
            <w:r w:rsidRPr="00E12314">
              <w:rPr>
                <w:rFonts w:ascii="Times New Roman" w:hAnsi="Times New Roman"/>
              </w:rPr>
              <w:t xml:space="preserve"> trong nước thải </w:t>
            </w:r>
            <w:r w:rsidR="003B3C40">
              <w:rPr>
                <w:rFonts w:ascii="Times New Roman" w:hAnsi="Times New Roman"/>
              </w:rPr>
              <w:t>chưa khử độc</w:t>
            </w:r>
            <w:r w:rsidR="005475BE">
              <w:rPr>
                <w:rFonts w:ascii="Times New Roman" w:hAnsi="Times New Roman"/>
              </w:rPr>
              <w:t xml:space="preserve"> </w:t>
            </w:r>
            <w:r w:rsidR="00AD5C4A">
              <w:rPr>
                <w:rFonts w:ascii="Times New Roman" w:hAnsi="Times New Roman"/>
              </w:rPr>
              <w:t>không bổ sung than hoạt tính</w:t>
            </w:r>
          </w:p>
        </w:tc>
        <w:tc>
          <w:tcPr>
            <w:tcW w:w="4671" w:type="dxa"/>
          </w:tcPr>
          <w:p w:rsidR="00816595" w:rsidRDefault="00816595" w:rsidP="005475BE">
            <w:pPr>
              <w:spacing w:before="60" w:after="60" w:line="280" w:lineRule="atLeast"/>
              <w:jc w:val="center"/>
              <w:rPr>
                <w:rFonts w:ascii="Times New Roman" w:hAnsi="Times New Roman"/>
              </w:rPr>
            </w:pPr>
            <w:bookmarkStart w:id="4" w:name="_Toc449618292"/>
            <w:bookmarkStart w:id="5" w:name="_Toc449652736"/>
            <w:r w:rsidRPr="005475BE">
              <w:rPr>
                <w:rFonts w:ascii="Times New Roman" w:hAnsi="Times New Roman"/>
                <w:b/>
              </w:rPr>
              <w:t>Hình 5</w:t>
            </w:r>
            <w:r w:rsidR="005475BE" w:rsidRPr="005475BE">
              <w:rPr>
                <w:rFonts w:ascii="Times New Roman" w:hAnsi="Times New Roman"/>
                <w:b/>
              </w:rPr>
              <w:t>.</w:t>
            </w:r>
            <w:r w:rsidRPr="00E12314">
              <w:rPr>
                <w:rFonts w:ascii="Times New Roman" w:hAnsi="Times New Roman"/>
              </w:rPr>
              <w:t xml:space="preserve"> Hiệu quả xử lý COD</w:t>
            </w:r>
            <w:bookmarkEnd w:id="4"/>
            <w:bookmarkEnd w:id="5"/>
            <w:r w:rsidRPr="00E12314">
              <w:rPr>
                <w:rFonts w:ascii="Times New Roman" w:hAnsi="Times New Roman"/>
              </w:rPr>
              <w:t xml:space="preserve"> trong nước thải đã khử độc</w:t>
            </w:r>
            <w:r w:rsidR="00AD5C4A">
              <w:rPr>
                <w:rFonts w:ascii="Times New Roman" w:hAnsi="Times New Roman"/>
              </w:rPr>
              <w:t xml:space="preserve"> và có bổ sung than hoạt tính</w:t>
            </w:r>
          </w:p>
        </w:tc>
      </w:tr>
    </w:tbl>
    <w:p w:rsidR="00710844" w:rsidRDefault="00E54583" w:rsidP="00710844">
      <w:pPr>
        <w:spacing w:before="60" w:after="60" w:line="300" w:lineRule="atLeast"/>
        <w:ind w:firstLine="284"/>
        <w:jc w:val="both"/>
        <w:rPr>
          <w:rFonts w:ascii="Times New Roman" w:hAnsi="Times New Roman"/>
        </w:rPr>
      </w:pPr>
      <w:r w:rsidRPr="00E12314">
        <w:rPr>
          <w:rFonts w:ascii="Times New Roman" w:hAnsi="Times New Roman"/>
        </w:rPr>
        <w:t xml:space="preserve">Theo hình 4, giá trị COD sau xử lý bằng vi sinh hiếu khí không ổn định và </w:t>
      </w:r>
      <w:r>
        <w:rPr>
          <w:rFonts w:ascii="Times New Roman" w:hAnsi="Times New Roman"/>
        </w:rPr>
        <w:t>d</w:t>
      </w:r>
      <w:r w:rsidRPr="00E12314">
        <w:rPr>
          <w:rFonts w:ascii="Times New Roman" w:hAnsi="Times New Roman"/>
        </w:rPr>
        <w:t>ao động quanh khoảng 277 – 360 mg/L</w:t>
      </w:r>
      <w:r w:rsidR="00DA0955">
        <w:rPr>
          <w:rFonts w:ascii="Times New Roman" w:hAnsi="Times New Roman"/>
        </w:rPr>
        <w:t xml:space="preserve">, hiệu quả xử lý COD trong nước thải chưa khử độc đạt giá trị cao nhất là 66%. </w:t>
      </w:r>
      <w:r w:rsidRPr="00E12314">
        <w:rPr>
          <w:rFonts w:ascii="Times New Roman" w:hAnsi="Times New Roman"/>
        </w:rPr>
        <w:t xml:space="preserve">Giá trị </w:t>
      </w:r>
      <w:r w:rsidR="00DA0955">
        <w:rPr>
          <w:rFonts w:ascii="Times New Roman" w:hAnsi="Times New Roman"/>
        </w:rPr>
        <w:t>COD sau xử lý</w:t>
      </w:r>
      <w:r w:rsidRPr="00E12314">
        <w:rPr>
          <w:rFonts w:ascii="Times New Roman" w:hAnsi="Times New Roman"/>
        </w:rPr>
        <w:t xml:space="preserve"> gấp </w:t>
      </w:r>
      <w:r>
        <w:rPr>
          <w:rFonts w:ascii="Times New Roman" w:hAnsi="Times New Roman"/>
        </w:rPr>
        <w:t>1</w:t>
      </w:r>
      <w:r w:rsidRPr="00E12314">
        <w:rPr>
          <w:rFonts w:ascii="Times New Roman" w:hAnsi="Times New Roman"/>
        </w:rPr>
        <w:t>,8</w:t>
      </w:r>
      <w:r>
        <w:rPr>
          <w:rFonts w:ascii="Times New Roman" w:hAnsi="Times New Roman"/>
        </w:rPr>
        <w:t>5</w:t>
      </w:r>
      <w:r w:rsidRPr="00E12314">
        <w:rPr>
          <w:rFonts w:ascii="Times New Roman" w:hAnsi="Times New Roman"/>
        </w:rPr>
        <w:t xml:space="preserve"> đến 2,</w:t>
      </w:r>
      <w:r>
        <w:rPr>
          <w:rFonts w:ascii="Times New Roman" w:hAnsi="Times New Roman"/>
        </w:rPr>
        <w:t>33</w:t>
      </w:r>
      <w:r w:rsidRPr="00E12314">
        <w:rPr>
          <w:rFonts w:ascii="Times New Roman" w:hAnsi="Times New Roman"/>
        </w:rPr>
        <w:t xml:space="preserve"> lần so với giá trị COD quy định trong </w:t>
      </w:r>
      <w:r w:rsidR="00274883" w:rsidRPr="00274883">
        <w:rPr>
          <w:rFonts w:ascii="Times New Roman" w:hAnsi="Times New Roman"/>
        </w:rPr>
        <w:t>QCVN 13-MT:2015/BTNMT (B)</w:t>
      </w:r>
      <w:r w:rsidR="00274883">
        <w:rPr>
          <w:rFonts w:ascii="Times New Roman" w:hAnsi="Times New Roman"/>
        </w:rPr>
        <w:t xml:space="preserve"> </w:t>
      </w:r>
      <w:r w:rsidRPr="00E12314">
        <w:rPr>
          <w:rFonts w:ascii="Times New Roman" w:hAnsi="Times New Roman"/>
        </w:rPr>
        <w:t xml:space="preserve"> – quy chuẩn kỹ thuật về nước thải dệt nhuộm</w:t>
      </w:r>
      <w:r w:rsidR="00274883">
        <w:rPr>
          <w:rFonts w:ascii="Times New Roman" w:hAnsi="Times New Roman"/>
        </w:rPr>
        <w:t xml:space="preserve"> loại B</w:t>
      </w:r>
      <w:r w:rsidRPr="00E12314">
        <w:rPr>
          <w:rFonts w:ascii="Times New Roman" w:hAnsi="Times New Roman"/>
        </w:rPr>
        <w:t xml:space="preserve">. </w:t>
      </w:r>
      <w:r w:rsidRPr="00F93D47">
        <w:rPr>
          <w:rFonts w:ascii="Times New Roman" w:hAnsi="Times New Roman"/>
        </w:rPr>
        <w:t xml:space="preserve">Trong suốt quá trình thí nghiệm, bùn hoạt tính thường được bổ sung do thể tích bùn lắng 60 phút giảm, nguyên nhân có thể do sự ức chế của các thành phần gây độc cho vi sinh trong </w:t>
      </w:r>
      <w:r w:rsidR="00F93D47" w:rsidRPr="00F93D47">
        <w:rPr>
          <w:rFonts w:ascii="Times New Roman" w:hAnsi="Times New Roman"/>
        </w:rPr>
        <w:t>nước thải</w:t>
      </w:r>
      <w:r w:rsidRPr="00F93D47">
        <w:rPr>
          <w:rFonts w:ascii="Times New Roman" w:hAnsi="Times New Roman"/>
        </w:rPr>
        <w:t xml:space="preserve">. Điều này có thể là một trong những nguyên nhân </w:t>
      </w:r>
      <w:r w:rsidRPr="00F93D47">
        <w:rPr>
          <w:rFonts w:ascii="Times New Roman" w:hAnsi="Times New Roman"/>
        </w:rPr>
        <w:lastRenderedPageBreak/>
        <w:t>khiến giai đoạn xử lý vi sinh hoạt động kém hiệu quả trong hầu hết công nghệ xử lý nước thải dệt nhuộm hiện nay ở Việt Nam.</w:t>
      </w:r>
    </w:p>
    <w:p w:rsidR="00710844" w:rsidRPr="004644A5" w:rsidRDefault="00E54583" w:rsidP="00710844">
      <w:pPr>
        <w:spacing w:before="60" w:after="60" w:line="300" w:lineRule="atLeast"/>
        <w:ind w:firstLine="284"/>
        <w:jc w:val="both"/>
        <w:rPr>
          <w:rFonts w:ascii="Times New Roman" w:hAnsi="Times New Roman"/>
        </w:rPr>
      </w:pPr>
      <w:r>
        <w:rPr>
          <w:rFonts w:ascii="Times New Roman" w:hAnsi="Times New Roman"/>
        </w:rPr>
        <w:t>H</w:t>
      </w:r>
      <w:r w:rsidRPr="004644A5">
        <w:rPr>
          <w:rFonts w:ascii="Times New Roman" w:hAnsi="Times New Roman"/>
        </w:rPr>
        <w:t xml:space="preserve">ình </w:t>
      </w:r>
      <w:r>
        <w:rPr>
          <w:rFonts w:ascii="Times New Roman" w:hAnsi="Times New Roman"/>
        </w:rPr>
        <w:t xml:space="preserve">5 cho thấy giá trị COD sau xử lý dao động trong khoảng 50 – 127 mg/L nằm trong giới hạn cho phép của </w:t>
      </w:r>
      <w:r w:rsidR="00274883" w:rsidRPr="00274883">
        <w:rPr>
          <w:rFonts w:ascii="Times New Roman" w:hAnsi="Times New Roman"/>
        </w:rPr>
        <w:t>QCVN 13-MT:2015/BTNMT (B)</w:t>
      </w:r>
      <w:r>
        <w:rPr>
          <w:rFonts w:ascii="Times New Roman" w:hAnsi="Times New Roman"/>
        </w:rPr>
        <w:t xml:space="preserve"> và có rất nhiều giá trị tiệm cận với giá trị COD loại A quy định trong </w:t>
      </w:r>
      <w:r w:rsidR="00274883">
        <w:rPr>
          <w:rFonts w:ascii="Times New Roman" w:hAnsi="Times New Roman"/>
        </w:rPr>
        <w:t>QCVN 13-MT:2015/BTNMT</w:t>
      </w:r>
      <w:r>
        <w:rPr>
          <w:rFonts w:ascii="Times New Roman" w:hAnsi="Times New Roman"/>
        </w:rPr>
        <w:t xml:space="preserve">. </w:t>
      </w:r>
      <w:r w:rsidRPr="004644A5">
        <w:rPr>
          <w:rFonts w:ascii="Times New Roman" w:hAnsi="Times New Roman"/>
        </w:rPr>
        <w:t>Kết quả cho thấy khả năng xử lý n</w:t>
      </w:r>
      <w:r>
        <w:rPr>
          <w:rFonts w:ascii="Times New Roman" w:hAnsi="Times New Roman"/>
        </w:rPr>
        <w:t>ước thải đã khử độc của bùn hoạt tính với than hoạt tính hiệu quả hơn</w:t>
      </w:r>
      <w:r w:rsidR="003C2F16">
        <w:rPr>
          <w:rFonts w:ascii="Times New Roman" w:hAnsi="Times New Roman"/>
        </w:rPr>
        <w:t xml:space="preserve">, </w:t>
      </w:r>
      <w:r w:rsidR="006A3984">
        <w:rPr>
          <w:rFonts w:ascii="Times New Roman" w:hAnsi="Times New Roman"/>
        </w:rPr>
        <w:t>trung bình</w:t>
      </w:r>
      <w:r w:rsidR="003C2F16">
        <w:rPr>
          <w:rFonts w:ascii="Times New Roman" w:hAnsi="Times New Roman"/>
        </w:rPr>
        <w:t xml:space="preserve"> là</w:t>
      </w:r>
      <w:r w:rsidR="006A3984">
        <w:rPr>
          <w:rFonts w:ascii="Times New Roman" w:hAnsi="Times New Roman"/>
        </w:rPr>
        <w:t xml:space="preserve"> 86% </w:t>
      </w:r>
      <w:r w:rsidR="0092319B">
        <w:rPr>
          <w:rFonts w:ascii="Times New Roman" w:hAnsi="Times New Roman"/>
        </w:rPr>
        <w:t xml:space="preserve">và cao nhất đạt </w:t>
      </w:r>
      <w:r w:rsidR="005A225A">
        <w:rPr>
          <w:rFonts w:ascii="Times New Roman" w:hAnsi="Times New Roman"/>
        </w:rPr>
        <w:t>92%</w:t>
      </w:r>
      <w:r w:rsidRPr="004644A5">
        <w:rPr>
          <w:rFonts w:ascii="Times New Roman" w:hAnsi="Times New Roman"/>
        </w:rPr>
        <w:t>. Như vậy, v</w:t>
      </w:r>
      <w:r w:rsidR="003C2F16">
        <w:rPr>
          <w:rFonts w:ascii="Times New Roman" w:hAnsi="Times New Roman"/>
        </w:rPr>
        <w:t>i</w:t>
      </w:r>
      <w:r w:rsidRPr="004644A5">
        <w:rPr>
          <w:rFonts w:ascii="Times New Roman" w:hAnsi="Times New Roman"/>
        </w:rPr>
        <w:t xml:space="preserve"> sinh hoàn toàn có khả năng thích nghi với nước thải đã khử độc và hiệu quả xử lý COD của chúng rất tốt.</w:t>
      </w:r>
    </w:p>
    <w:p w:rsidR="00710844" w:rsidRDefault="00D7720B" w:rsidP="00710844">
      <w:pPr>
        <w:spacing w:before="120" w:after="120" w:line="300" w:lineRule="atLeast"/>
        <w:jc w:val="both"/>
        <w:rPr>
          <w:rFonts w:ascii="Times New Roman" w:hAnsi="Times New Roman"/>
        </w:rPr>
      </w:pPr>
      <w:r w:rsidRPr="00E12314">
        <w:rPr>
          <w:rFonts w:ascii="Times New Roman" w:hAnsi="Times New Roman"/>
          <w:b/>
        </w:rPr>
        <w:t>4. Kết luận</w:t>
      </w:r>
    </w:p>
    <w:p w:rsidR="00710844" w:rsidRDefault="00710844" w:rsidP="00AC2B9E">
      <w:pPr>
        <w:spacing w:before="60" w:after="60" w:line="300" w:lineRule="atLeast"/>
        <w:ind w:firstLine="425"/>
        <w:jc w:val="both"/>
        <w:rPr>
          <w:rFonts w:ascii="Times New Roman" w:hAnsi="Times New Roman"/>
        </w:rPr>
      </w:pPr>
      <w:r>
        <w:rPr>
          <w:rFonts w:ascii="Times New Roman" w:hAnsi="Times New Roman"/>
        </w:rPr>
        <w:t>Từ các kết quả thí nghiệm, chúng tôi rút ra được một số kết luận như sau:</w:t>
      </w:r>
    </w:p>
    <w:p w:rsidR="00C74DE7" w:rsidRPr="00E12314" w:rsidRDefault="00C74DE7" w:rsidP="00AC2B9E">
      <w:pPr>
        <w:spacing w:before="60" w:after="60" w:line="300" w:lineRule="atLeast"/>
        <w:ind w:firstLine="425"/>
        <w:jc w:val="both"/>
        <w:rPr>
          <w:rFonts w:ascii="Times New Roman" w:hAnsi="Times New Roman"/>
        </w:rPr>
      </w:pPr>
      <w:r w:rsidRPr="00E12314">
        <w:rPr>
          <w:rFonts w:ascii="Times New Roman" w:hAnsi="Times New Roman"/>
        </w:rPr>
        <w:t xml:space="preserve">Trong giai đoạn thích nghi: </w:t>
      </w:r>
      <w:r w:rsidR="00AE03EA">
        <w:rPr>
          <w:rFonts w:ascii="Times New Roman" w:hAnsi="Times New Roman"/>
        </w:rPr>
        <w:t xml:space="preserve">Hệ bùn hoạt tính của nước thải </w:t>
      </w:r>
      <w:r w:rsidR="003C2F16">
        <w:rPr>
          <w:rFonts w:ascii="Times New Roman" w:hAnsi="Times New Roman"/>
        </w:rPr>
        <w:t>chưa</w:t>
      </w:r>
      <w:r w:rsidR="00AE03EA">
        <w:rPr>
          <w:rFonts w:ascii="Times New Roman" w:hAnsi="Times New Roman"/>
        </w:rPr>
        <w:t xml:space="preserve"> khử độc thích nghi kém, trong khi hệ bùn hoạt tính của </w:t>
      </w:r>
      <w:r w:rsidR="00BF32F7">
        <w:rPr>
          <w:rFonts w:ascii="Times New Roman" w:hAnsi="Times New Roman"/>
        </w:rPr>
        <w:t>nước</w:t>
      </w:r>
      <w:r w:rsidR="00AE03EA">
        <w:rPr>
          <w:rFonts w:ascii="Times New Roman" w:hAnsi="Times New Roman"/>
        </w:rPr>
        <w:t xml:space="preserve"> thải đã khử độc có khả năng thích nghi tốt, sinh khối phát triển tốt</w:t>
      </w:r>
      <w:r w:rsidR="007B7854">
        <w:rPr>
          <w:rFonts w:ascii="Times New Roman" w:hAnsi="Times New Roman"/>
        </w:rPr>
        <w:t xml:space="preserve"> từ những mẻ đầu</w:t>
      </w:r>
      <w:r w:rsidR="00AE03EA">
        <w:rPr>
          <w:rFonts w:ascii="Times New Roman" w:hAnsi="Times New Roman"/>
        </w:rPr>
        <w:t>.</w:t>
      </w:r>
    </w:p>
    <w:p w:rsidR="00C74DE7" w:rsidRDefault="00C74DE7" w:rsidP="00AC2B9E">
      <w:pPr>
        <w:spacing w:before="60" w:after="60" w:line="300" w:lineRule="atLeast"/>
        <w:ind w:firstLine="425"/>
        <w:jc w:val="both"/>
        <w:rPr>
          <w:rFonts w:ascii="Times New Roman" w:hAnsi="Times New Roman"/>
        </w:rPr>
      </w:pPr>
      <w:r w:rsidRPr="00E12314">
        <w:rPr>
          <w:rFonts w:ascii="Times New Roman" w:hAnsi="Times New Roman"/>
        </w:rPr>
        <w:t xml:space="preserve">Trong giai đoạn xử lý: </w:t>
      </w:r>
      <w:r w:rsidR="007B7854">
        <w:rPr>
          <w:rFonts w:ascii="Times New Roman" w:hAnsi="Times New Roman"/>
        </w:rPr>
        <w:t xml:space="preserve">Với nước thải chưa </w:t>
      </w:r>
      <w:r w:rsidR="00AE03EA">
        <w:rPr>
          <w:rFonts w:ascii="Times New Roman" w:hAnsi="Times New Roman"/>
        </w:rPr>
        <w:t>khử độc</w:t>
      </w:r>
      <w:r w:rsidR="003C2F16">
        <w:rPr>
          <w:rFonts w:ascii="Times New Roman" w:hAnsi="Times New Roman"/>
        </w:rPr>
        <w:t xml:space="preserve"> và hệ bùn hoạt tính không bổ sung than hoạt tính</w:t>
      </w:r>
      <w:r w:rsidR="00AE03EA">
        <w:rPr>
          <w:rFonts w:ascii="Times New Roman" w:hAnsi="Times New Roman"/>
        </w:rPr>
        <w:t xml:space="preserve">, khả năng xử lý COD thấp, </w:t>
      </w:r>
      <w:r w:rsidR="005A154D">
        <w:rPr>
          <w:rFonts w:ascii="Times New Roman" w:hAnsi="Times New Roman"/>
        </w:rPr>
        <w:t>g</w:t>
      </w:r>
      <w:r w:rsidR="005A154D" w:rsidRPr="00E12314">
        <w:rPr>
          <w:rFonts w:ascii="Times New Roman" w:hAnsi="Times New Roman"/>
        </w:rPr>
        <w:t xml:space="preserve">iá trị </w:t>
      </w:r>
      <w:r w:rsidR="007B7854">
        <w:rPr>
          <w:rFonts w:ascii="Times New Roman" w:hAnsi="Times New Roman"/>
        </w:rPr>
        <w:t>COD sau xử lý</w:t>
      </w:r>
      <w:r w:rsidR="005A154D" w:rsidRPr="00E12314">
        <w:rPr>
          <w:rFonts w:ascii="Times New Roman" w:hAnsi="Times New Roman"/>
        </w:rPr>
        <w:t xml:space="preserve"> gấp </w:t>
      </w:r>
      <w:r w:rsidR="005A154D">
        <w:rPr>
          <w:rFonts w:ascii="Times New Roman" w:hAnsi="Times New Roman"/>
        </w:rPr>
        <w:t>1</w:t>
      </w:r>
      <w:r w:rsidR="005A154D" w:rsidRPr="00E12314">
        <w:rPr>
          <w:rFonts w:ascii="Times New Roman" w:hAnsi="Times New Roman"/>
        </w:rPr>
        <w:t>,8</w:t>
      </w:r>
      <w:r w:rsidR="005A154D">
        <w:rPr>
          <w:rFonts w:ascii="Times New Roman" w:hAnsi="Times New Roman"/>
        </w:rPr>
        <w:t>5</w:t>
      </w:r>
      <w:r w:rsidR="005A154D" w:rsidRPr="00E12314">
        <w:rPr>
          <w:rFonts w:ascii="Times New Roman" w:hAnsi="Times New Roman"/>
        </w:rPr>
        <w:t xml:space="preserve"> đến 2,</w:t>
      </w:r>
      <w:r w:rsidR="005A154D">
        <w:rPr>
          <w:rFonts w:ascii="Times New Roman" w:hAnsi="Times New Roman"/>
        </w:rPr>
        <w:t>33</w:t>
      </w:r>
      <w:r w:rsidR="005A154D" w:rsidRPr="00E12314">
        <w:rPr>
          <w:rFonts w:ascii="Times New Roman" w:hAnsi="Times New Roman"/>
        </w:rPr>
        <w:t xml:space="preserve"> lần so với giá trị COD quy định trong QCVN 13 (B)</w:t>
      </w:r>
      <w:r w:rsidR="005A154D">
        <w:rPr>
          <w:rFonts w:ascii="Times New Roman" w:hAnsi="Times New Roman"/>
        </w:rPr>
        <w:t xml:space="preserve">. Với nước thải đã khử độc và hệ bùn hoạt tính được bổ sung than hoạt tính dạng bột, khả năng xử lý COD rất tốt, giá trị </w:t>
      </w:r>
      <w:r w:rsidR="007B7854">
        <w:rPr>
          <w:rFonts w:ascii="Times New Roman" w:hAnsi="Times New Roman"/>
        </w:rPr>
        <w:t>COD sau xử lý</w:t>
      </w:r>
      <w:r w:rsidR="005A154D">
        <w:rPr>
          <w:rFonts w:ascii="Times New Roman" w:hAnsi="Times New Roman"/>
        </w:rPr>
        <w:t xml:space="preserve"> nằm trong giới hạn cho phép của QCVN 13 (B)</w:t>
      </w:r>
      <w:r w:rsidR="007A2C1E">
        <w:rPr>
          <w:rFonts w:ascii="Times New Roman" w:hAnsi="Times New Roman"/>
        </w:rPr>
        <w:t xml:space="preserve"> và dao động từ 50 – 127 mg/L.</w:t>
      </w:r>
    </w:p>
    <w:p w:rsidR="00C97DFE" w:rsidRPr="00E12314" w:rsidRDefault="00C97DFE" w:rsidP="00AC2B9E">
      <w:pPr>
        <w:spacing w:before="60" w:after="60" w:line="300" w:lineRule="atLeast"/>
        <w:ind w:firstLine="425"/>
        <w:jc w:val="both"/>
        <w:rPr>
          <w:rFonts w:ascii="Times New Roman" w:hAnsi="Times New Roman"/>
        </w:rPr>
      </w:pPr>
      <w:r>
        <w:rPr>
          <w:rFonts w:ascii="Times New Roman" w:hAnsi="Times New Roman"/>
        </w:rPr>
        <w:t xml:space="preserve">Trên đây là các kết quả bước đầu trong phạm vi phòng thí nghiệm. Để có thể áp dụng hiệu quả trong thực tế cần có các nghiên cứu sâu hơn và sẽ được công bố trong các bài báo sau này. </w:t>
      </w:r>
    </w:p>
    <w:p w:rsidR="00D7720B" w:rsidRPr="00E12314" w:rsidRDefault="00D7720B" w:rsidP="00AC2B9E">
      <w:pPr>
        <w:spacing w:before="120" w:after="120" w:line="300" w:lineRule="atLeast"/>
        <w:jc w:val="both"/>
        <w:rPr>
          <w:rFonts w:ascii="Times New Roman" w:hAnsi="Times New Roman"/>
          <w:b/>
        </w:rPr>
      </w:pPr>
      <w:r w:rsidRPr="00E12314">
        <w:rPr>
          <w:rFonts w:ascii="Times New Roman" w:hAnsi="Times New Roman"/>
          <w:b/>
        </w:rPr>
        <w:t>Tài liệu tham khảo</w:t>
      </w:r>
    </w:p>
    <w:p w:rsidR="005475BE" w:rsidRPr="005475BE" w:rsidRDefault="00890293" w:rsidP="00AC2B9E">
      <w:pPr>
        <w:pStyle w:val="ListParagraph"/>
        <w:numPr>
          <w:ilvl w:val="0"/>
          <w:numId w:val="21"/>
        </w:numPr>
        <w:spacing w:before="60" w:after="60" w:line="300" w:lineRule="atLeast"/>
        <w:ind w:left="425" w:hanging="425"/>
        <w:jc w:val="both"/>
        <w:rPr>
          <w:sz w:val="22"/>
          <w:szCs w:val="22"/>
        </w:rPr>
      </w:pPr>
      <w:r w:rsidRPr="005475BE">
        <w:rPr>
          <w:sz w:val="22"/>
          <w:szCs w:val="22"/>
        </w:rPr>
        <w:t xml:space="preserve">Himanshu Patel, R. T. Vashi, Treatment of textile wastewater by adsorption and coagulation, </w:t>
      </w:r>
      <w:r w:rsidRPr="005475BE">
        <w:rPr>
          <w:i/>
          <w:sz w:val="22"/>
          <w:szCs w:val="22"/>
        </w:rPr>
        <w:t>E-journal of chemistry</w:t>
      </w:r>
      <w:r w:rsidRPr="005475BE">
        <w:rPr>
          <w:sz w:val="22"/>
          <w:szCs w:val="22"/>
        </w:rPr>
        <w:t xml:space="preserve">, 7(4), </w:t>
      </w:r>
      <w:r w:rsidR="00A82B14">
        <w:rPr>
          <w:sz w:val="22"/>
          <w:szCs w:val="22"/>
        </w:rPr>
        <w:t xml:space="preserve">(2010), pp </w:t>
      </w:r>
      <w:r w:rsidRPr="005475BE">
        <w:rPr>
          <w:sz w:val="22"/>
          <w:szCs w:val="22"/>
        </w:rPr>
        <w:t>1468.</w:t>
      </w:r>
    </w:p>
    <w:p w:rsidR="005475BE" w:rsidRPr="005475BE" w:rsidRDefault="00890293" w:rsidP="00AC2B9E">
      <w:pPr>
        <w:pStyle w:val="ListParagraph"/>
        <w:numPr>
          <w:ilvl w:val="0"/>
          <w:numId w:val="21"/>
        </w:numPr>
        <w:spacing w:before="60" w:after="60" w:line="300" w:lineRule="atLeast"/>
        <w:ind w:left="425" w:hanging="425"/>
        <w:jc w:val="both"/>
        <w:rPr>
          <w:sz w:val="22"/>
          <w:szCs w:val="22"/>
        </w:rPr>
      </w:pPr>
      <w:r w:rsidRPr="005475BE">
        <w:rPr>
          <w:sz w:val="22"/>
          <w:szCs w:val="22"/>
        </w:rPr>
        <w:t xml:space="preserve">Meena Solanki, S. Suresh, Shakti Nath Das, Kanchan Shukla, </w:t>
      </w:r>
      <w:r w:rsidR="007D1044" w:rsidRPr="005475BE">
        <w:rPr>
          <w:sz w:val="22"/>
          <w:szCs w:val="22"/>
        </w:rPr>
        <w:t>T</w:t>
      </w:r>
      <w:r w:rsidRPr="005475BE">
        <w:rPr>
          <w:sz w:val="22"/>
          <w:szCs w:val="22"/>
        </w:rPr>
        <w:t xml:space="preserve">reatment of real textile wastewater using coagulation technology, </w:t>
      </w:r>
      <w:r w:rsidR="007D1044" w:rsidRPr="005475BE">
        <w:rPr>
          <w:i/>
          <w:sz w:val="22"/>
          <w:szCs w:val="22"/>
        </w:rPr>
        <w:t>I</w:t>
      </w:r>
      <w:r w:rsidRPr="005475BE">
        <w:rPr>
          <w:i/>
          <w:sz w:val="22"/>
          <w:szCs w:val="22"/>
        </w:rPr>
        <w:t>nternational Journal of ChemTech Research</w:t>
      </w:r>
      <w:r w:rsidRPr="005475BE">
        <w:rPr>
          <w:sz w:val="22"/>
          <w:szCs w:val="22"/>
        </w:rPr>
        <w:t xml:space="preserve">, 5(2) </w:t>
      </w:r>
      <w:r w:rsidR="00A82B14">
        <w:rPr>
          <w:sz w:val="22"/>
          <w:szCs w:val="22"/>
        </w:rPr>
        <w:t xml:space="preserve">, (2013), pp </w:t>
      </w:r>
      <w:r w:rsidRPr="005475BE">
        <w:rPr>
          <w:sz w:val="22"/>
          <w:szCs w:val="22"/>
        </w:rPr>
        <w:t>610.</w:t>
      </w:r>
    </w:p>
    <w:p w:rsidR="005475BE" w:rsidRPr="005475BE" w:rsidRDefault="00890293" w:rsidP="00AC2B9E">
      <w:pPr>
        <w:pStyle w:val="ListParagraph"/>
        <w:numPr>
          <w:ilvl w:val="0"/>
          <w:numId w:val="21"/>
        </w:numPr>
        <w:spacing w:before="60" w:after="60" w:line="300" w:lineRule="atLeast"/>
        <w:ind w:left="425" w:hanging="425"/>
        <w:jc w:val="both"/>
        <w:rPr>
          <w:sz w:val="22"/>
          <w:szCs w:val="22"/>
        </w:rPr>
      </w:pPr>
      <w:r w:rsidRPr="005475BE">
        <w:rPr>
          <w:sz w:val="22"/>
          <w:szCs w:val="22"/>
        </w:rPr>
        <w:t xml:space="preserve">Mohd Ariffin Abu Hassan, Tan Pei Li, Zainura Zainon Noor, </w:t>
      </w:r>
      <w:r w:rsidR="007D1044" w:rsidRPr="005475BE">
        <w:rPr>
          <w:sz w:val="22"/>
          <w:szCs w:val="22"/>
        </w:rPr>
        <w:t>C</w:t>
      </w:r>
      <w:r w:rsidRPr="005475BE">
        <w:rPr>
          <w:sz w:val="22"/>
          <w:szCs w:val="22"/>
        </w:rPr>
        <w:t xml:space="preserve">oagulation and flocculation treatment of wastewater in textile industry using chitosan, </w:t>
      </w:r>
      <w:r w:rsidRPr="005475BE">
        <w:rPr>
          <w:i/>
          <w:sz w:val="22"/>
          <w:szCs w:val="22"/>
        </w:rPr>
        <w:t>Journal of chemical and natural Resources Engineering</w:t>
      </w:r>
      <w:r w:rsidRPr="005475BE">
        <w:rPr>
          <w:sz w:val="22"/>
          <w:szCs w:val="22"/>
        </w:rPr>
        <w:t xml:space="preserve">, 4(1), </w:t>
      </w:r>
      <w:r w:rsidR="005A1503">
        <w:rPr>
          <w:sz w:val="22"/>
          <w:szCs w:val="22"/>
        </w:rPr>
        <w:t xml:space="preserve">(2009), </w:t>
      </w:r>
      <w:r w:rsidR="00A82B14">
        <w:rPr>
          <w:sz w:val="22"/>
          <w:szCs w:val="22"/>
        </w:rPr>
        <w:t xml:space="preserve">pp </w:t>
      </w:r>
      <w:r w:rsidRPr="005475BE">
        <w:rPr>
          <w:sz w:val="22"/>
          <w:szCs w:val="22"/>
        </w:rPr>
        <w:t>4</w:t>
      </w:r>
      <w:r w:rsidR="005A1503">
        <w:rPr>
          <w:sz w:val="22"/>
          <w:szCs w:val="22"/>
        </w:rPr>
        <w:t>3</w:t>
      </w:r>
    </w:p>
    <w:p w:rsidR="00D7720B" w:rsidRDefault="00890293" w:rsidP="00AC2B9E">
      <w:pPr>
        <w:pStyle w:val="ListParagraph"/>
        <w:numPr>
          <w:ilvl w:val="0"/>
          <w:numId w:val="21"/>
        </w:numPr>
        <w:spacing w:before="60" w:after="60" w:line="300" w:lineRule="atLeast"/>
        <w:ind w:left="425" w:hanging="425"/>
        <w:jc w:val="both"/>
        <w:rPr>
          <w:sz w:val="22"/>
          <w:szCs w:val="22"/>
        </w:rPr>
      </w:pPr>
      <w:r w:rsidRPr="005475BE">
        <w:rPr>
          <w:sz w:val="22"/>
          <w:szCs w:val="22"/>
        </w:rPr>
        <w:t>Gogate Parag R., Pandit Aniruddha B</w:t>
      </w:r>
      <w:r w:rsidR="00655126">
        <w:rPr>
          <w:sz w:val="22"/>
          <w:szCs w:val="22"/>
        </w:rPr>
        <w:t>,</w:t>
      </w:r>
      <w:r w:rsidRPr="005475BE">
        <w:rPr>
          <w:sz w:val="22"/>
          <w:szCs w:val="22"/>
        </w:rPr>
        <w:t xml:space="preserve"> A review of imperative technologies for wastewater treatment I: oxidation technologies at ambient conditions, </w:t>
      </w:r>
      <w:r w:rsidRPr="005475BE">
        <w:rPr>
          <w:i/>
          <w:sz w:val="22"/>
          <w:szCs w:val="22"/>
        </w:rPr>
        <w:t>Advances in Environmental Research 8</w:t>
      </w:r>
      <w:r w:rsidR="00655126">
        <w:rPr>
          <w:sz w:val="22"/>
          <w:szCs w:val="22"/>
        </w:rPr>
        <w:t xml:space="preserve">, </w:t>
      </w:r>
      <w:r w:rsidR="00DA2D18">
        <w:rPr>
          <w:sz w:val="22"/>
          <w:szCs w:val="22"/>
        </w:rPr>
        <w:t xml:space="preserve">(2004), </w:t>
      </w:r>
      <w:r w:rsidR="00A82B14">
        <w:rPr>
          <w:sz w:val="22"/>
          <w:szCs w:val="22"/>
        </w:rPr>
        <w:t xml:space="preserve">pp </w:t>
      </w:r>
      <w:r w:rsidRPr="005475BE">
        <w:rPr>
          <w:sz w:val="22"/>
          <w:szCs w:val="22"/>
        </w:rPr>
        <w:t>501.</w:t>
      </w:r>
    </w:p>
    <w:p w:rsidR="00A82B14" w:rsidRPr="00655126" w:rsidRDefault="00A82B14" w:rsidP="00A82B14">
      <w:pPr>
        <w:pStyle w:val="ListParagraph"/>
        <w:spacing w:before="60" w:after="60" w:line="300" w:lineRule="atLeast"/>
        <w:ind w:left="425"/>
        <w:jc w:val="both"/>
        <w:rPr>
          <w:sz w:val="22"/>
          <w:szCs w:val="22"/>
        </w:rPr>
      </w:pPr>
    </w:p>
    <w:p w:rsidR="00225E6B" w:rsidRPr="00655126" w:rsidRDefault="00EE4FB1" w:rsidP="00A82B14">
      <w:pPr>
        <w:spacing w:after="0" w:line="240" w:lineRule="auto"/>
        <w:jc w:val="center"/>
        <w:rPr>
          <w:rFonts w:ascii="Times New Roman" w:hAnsi="Times New Roman"/>
          <w:sz w:val="36"/>
          <w:szCs w:val="36"/>
        </w:rPr>
      </w:pPr>
      <w:r>
        <w:rPr>
          <w:rFonts w:ascii="Times New Roman" w:hAnsi="Times New Roman"/>
          <w:sz w:val="36"/>
          <w:szCs w:val="36"/>
        </w:rPr>
        <w:t>Enhancing the treatability of textile wastewater in biological activated sludge process</w:t>
      </w:r>
    </w:p>
    <w:p w:rsidR="00A82B14" w:rsidRDefault="00A82B14" w:rsidP="00A82B14">
      <w:pPr>
        <w:spacing w:after="0" w:line="280" w:lineRule="atLeast"/>
        <w:jc w:val="center"/>
        <w:rPr>
          <w:rFonts w:ascii="Times New Roman" w:hAnsi="Times New Roman"/>
          <w:sz w:val="27"/>
          <w:szCs w:val="27"/>
        </w:rPr>
      </w:pPr>
      <w:r w:rsidRPr="00581AB7">
        <w:rPr>
          <w:rFonts w:ascii="Times New Roman" w:hAnsi="Times New Roman"/>
          <w:sz w:val="27"/>
          <w:szCs w:val="27"/>
        </w:rPr>
        <w:t>V</w:t>
      </w:r>
      <w:r>
        <w:rPr>
          <w:rFonts w:ascii="Times New Roman" w:hAnsi="Times New Roman"/>
          <w:sz w:val="27"/>
          <w:szCs w:val="27"/>
        </w:rPr>
        <w:t>o</w:t>
      </w:r>
      <w:r w:rsidRPr="00581AB7">
        <w:rPr>
          <w:rFonts w:ascii="Times New Roman" w:hAnsi="Times New Roman"/>
          <w:sz w:val="27"/>
          <w:szCs w:val="27"/>
        </w:rPr>
        <w:t xml:space="preserve"> Th</w:t>
      </w:r>
      <w:r>
        <w:rPr>
          <w:rFonts w:ascii="Times New Roman" w:hAnsi="Times New Roman"/>
          <w:sz w:val="27"/>
          <w:szCs w:val="27"/>
        </w:rPr>
        <w:t>i</w:t>
      </w:r>
      <w:r w:rsidRPr="00581AB7">
        <w:rPr>
          <w:rFonts w:ascii="Times New Roman" w:hAnsi="Times New Roman"/>
          <w:sz w:val="27"/>
          <w:szCs w:val="27"/>
        </w:rPr>
        <w:t xml:space="preserve"> Thanh T</w:t>
      </w:r>
      <w:r>
        <w:rPr>
          <w:rFonts w:ascii="Times New Roman" w:hAnsi="Times New Roman"/>
          <w:sz w:val="27"/>
          <w:szCs w:val="27"/>
        </w:rPr>
        <w:t>a</w:t>
      </w:r>
      <w:r w:rsidRPr="00581AB7">
        <w:rPr>
          <w:rFonts w:ascii="Times New Roman" w:hAnsi="Times New Roman"/>
          <w:sz w:val="27"/>
          <w:szCs w:val="27"/>
        </w:rPr>
        <w:t>m</w:t>
      </w:r>
      <w:r>
        <w:rPr>
          <w:rFonts w:ascii="Times New Roman" w:hAnsi="Times New Roman"/>
          <w:sz w:val="27"/>
          <w:szCs w:val="27"/>
          <w:vertAlign w:val="superscript"/>
        </w:rPr>
        <w:t>1</w:t>
      </w:r>
      <w:r w:rsidRPr="00581AB7">
        <w:rPr>
          <w:rFonts w:ascii="Times New Roman" w:hAnsi="Times New Roman"/>
          <w:sz w:val="27"/>
          <w:szCs w:val="27"/>
        </w:rPr>
        <w:t>, Cao Th</w:t>
      </w:r>
      <w:r>
        <w:rPr>
          <w:rFonts w:ascii="Times New Roman" w:hAnsi="Times New Roman"/>
          <w:sz w:val="27"/>
          <w:szCs w:val="27"/>
        </w:rPr>
        <w:t>e</w:t>
      </w:r>
      <w:r w:rsidRPr="00581AB7">
        <w:rPr>
          <w:rFonts w:ascii="Times New Roman" w:hAnsi="Times New Roman"/>
          <w:sz w:val="27"/>
          <w:szCs w:val="27"/>
        </w:rPr>
        <w:t xml:space="preserve"> H</w:t>
      </w:r>
      <w:r>
        <w:rPr>
          <w:rFonts w:ascii="Times New Roman" w:hAnsi="Times New Roman"/>
          <w:sz w:val="27"/>
          <w:szCs w:val="27"/>
        </w:rPr>
        <w:t>a</w:t>
      </w:r>
      <w:r>
        <w:rPr>
          <w:rFonts w:ascii="Times New Roman" w:hAnsi="Times New Roman"/>
          <w:sz w:val="27"/>
          <w:szCs w:val="27"/>
          <w:vertAlign w:val="superscript"/>
        </w:rPr>
        <w:t>1*</w:t>
      </w:r>
      <w:r>
        <w:rPr>
          <w:rFonts w:ascii="Times New Roman" w:hAnsi="Times New Roman"/>
          <w:sz w:val="27"/>
          <w:szCs w:val="27"/>
        </w:rPr>
        <w:softHyphen/>
        <w:t xml:space="preserve">, </w:t>
      </w:r>
      <w:r w:rsidRPr="00581AB7">
        <w:rPr>
          <w:rFonts w:ascii="Times New Roman" w:hAnsi="Times New Roman"/>
          <w:sz w:val="27"/>
          <w:szCs w:val="27"/>
        </w:rPr>
        <w:t>Nguy</w:t>
      </w:r>
      <w:r>
        <w:rPr>
          <w:rFonts w:ascii="Times New Roman" w:hAnsi="Times New Roman"/>
          <w:sz w:val="27"/>
          <w:szCs w:val="27"/>
        </w:rPr>
        <w:t>e</w:t>
      </w:r>
      <w:r w:rsidRPr="00581AB7">
        <w:rPr>
          <w:rFonts w:ascii="Times New Roman" w:hAnsi="Times New Roman"/>
          <w:sz w:val="27"/>
          <w:szCs w:val="27"/>
        </w:rPr>
        <w:t>n Vi</w:t>
      </w:r>
      <w:r>
        <w:rPr>
          <w:rFonts w:ascii="Times New Roman" w:hAnsi="Times New Roman"/>
          <w:sz w:val="27"/>
          <w:szCs w:val="27"/>
        </w:rPr>
        <w:t>e</w:t>
      </w:r>
      <w:r w:rsidRPr="00581AB7">
        <w:rPr>
          <w:rFonts w:ascii="Times New Roman" w:hAnsi="Times New Roman"/>
          <w:sz w:val="27"/>
          <w:szCs w:val="27"/>
        </w:rPr>
        <w:t>t H</w:t>
      </w:r>
      <w:r>
        <w:rPr>
          <w:rFonts w:ascii="Times New Roman" w:hAnsi="Times New Roman"/>
          <w:sz w:val="27"/>
          <w:szCs w:val="27"/>
        </w:rPr>
        <w:t>a</w:t>
      </w:r>
      <w:r>
        <w:rPr>
          <w:rFonts w:ascii="Times New Roman" w:hAnsi="Times New Roman"/>
          <w:sz w:val="27"/>
          <w:szCs w:val="27"/>
          <w:vertAlign w:val="superscript"/>
        </w:rPr>
        <w:t>1</w:t>
      </w:r>
      <w:r w:rsidRPr="00581AB7">
        <w:rPr>
          <w:rFonts w:ascii="Times New Roman" w:hAnsi="Times New Roman"/>
          <w:sz w:val="27"/>
          <w:szCs w:val="27"/>
        </w:rPr>
        <w:t>, Nguy</w:t>
      </w:r>
      <w:r>
        <w:rPr>
          <w:rFonts w:ascii="Times New Roman" w:hAnsi="Times New Roman"/>
          <w:sz w:val="27"/>
          <w:szCs w:val="27"/>
        </w:rPr>
        <w:t>e</w:t>
      </w:r>
      <w:r w:rsidRPr="00581AB7">
        <w:rPr>
          <w:rFonts w:ascii="Times New Roman" w:hAnsi="Times New Roman"/>
          <w:sz w:val="27"/>
          <w:szCs w:val="27"/>
        </w:rPr>
        <w:t>n Tr</w:t>
      </w:r>
      <w:r>
        <w:rPr>
          <w:rFonts w:ascii="Times New Roman" w:hAnsi="Times New Roman"/>
          <w:sz w:val="27"/>
          <w:szCs w:val="27"/>
        </w:rPr>
        <w:t>uo</w:t>
      </w:r>
      <w:r w:rsidRPr="00581AB7">
        <w:rPr>
          <w:rFonts w:ascii="Times New Roman" w:hAnsi="Times New Roman"/>
          <w:sz w:val="27"/>
          <w:szCs w:val="27"/>
        </w:rPr>
        <w:t>ng Qu</w:t>
      </w:r>
      <w:r>
        <w:rPr>
          <w:rFonts w:ascii="Times New Roman" w:hAnsi="Times New Roman"/>
          <w:sz w:val="27"/>
          <w:szCs w:val="27"/>
        </w:rPr>
        <w:t>a</w:t>
      </w:r>
      <w:r w:rsidRPr="00581AB7">
        <w:rPr>
          <w:rFonts w:ascii="Times New Roman" w:hAnsi="Times New Roman"/>
          <w:sz w:val="27"/>
          <w:szCs w:val="27"/>
        </w:rPr>
        <w:t>n</w:t>
      </w:r>
      <w:r>
        <w:rPr>
          <w:rFonts w:ascii="Times New Roman" w:hAnsi="Times New Roman"/>
          <w:sz w:val="27"/>
          <w:szCs w:val="27"/>
          <w:vertAlign w:val="superscript"/>
        </w:rPr>
        <w:t>1</w:t>
      </w:r>
      <w:r>
        <w:rPr>
          <w:rFonts w:ascii="Times New Roman" w:hAnsi="Times New Roman"/>
          <w:sz w:val="27"/>
          <w:szCs w:val="27"/>
          <w:vertAlign w:val="superscript"/>
        </w:rPr>
        <w:softHyphen/>
      </w:r>
      <w:r>
        <w:rPr>
          <w:rFonts w:ascii="Times New Roman" w:hAnsi="Times New Roman"/>
          <w:sz w:val="27"/>
          <w:szCs w:val="27"/>
          <w:vertAlign w:val="superscript"/>
        </w:rPr>
        <w:softHyphen/>
      </w:r>
      <w:r>
        <w:rPr>
          <w:rFonts w:ascii="Times New Roman" w:hAnsi="Times New Roman"/>
          <w:sz w:val="27"/>
          <w:szCs w:val="27"/>
        </w:rPr>
        <w:t xml:space="preserve">, </w:t>
      </w:r>
    </w:p>
    <w:p w:rsidR="00A82B14" w:rsidRPr="00A82B14" w:rsidRDefault="00A82B14" w:rsidP="00A82B14">
      <w:pPr>
        <w:spacing w:after="0" w:line="280" w:lineRule="atLeast"/>
        <w:jc w:val="center"/>
        <w:rPr>
          <w:rFonts w:ascii="Times New Roman" w:hAnsi="Times New Roman"/>
          <w:sz w:val="27"/>
          <w:szCs w:val="27"/>
          <w:vertAlign w:val="superscript"/>
          <w:lang w:val="fr-FR"/>
        </w:rPr>
      </w:pPr>
      <w:r w:rsidRPr="00A82B14">
        <w:rPr>
          <w:rFonts w:ascii="Times New Roman" w:hAnsi="Times New Roman"/>
          <w:sz w:val="27"/>
          <w:szCs w:val="27"/>
          <w:lang w:val="fr-FR"/>
        </w:rPr>
        <w:t>Vu Ng</w:t>
      </w:r>
      <w:r>
        <w:rPr>
          <w:rFonts w:ascii="Times New Roman" w:hAnsi="Times New Roman"/>
          <w:sz w:val="27"/>
          <w:szCs w:val="27"/>
          <w:lang w:val="fr-FR"/>
        </w:rPr>
        <w:t>o</w:t>
      </w:r>
      <w:r w:rsidRPr="00A82B14">
        <w:rPr>
          <w:rFonts w:ascii="Times New Roman" w:hAnsi="Times New Roman"/>
          <w:sz w:val="27"/>
          <w:szCs w:val="27"/>
          <w:lang w:val="fr-FR"/>
        </w:rPr>
        <w:t>c Duy</w:t>
      </w:r>
      <w:r w:rsidRPr="00A82B14">
        <w:rPr>
          <w:rFonts w:ascii="Times New Roman" w:hAnsi="Times New Roman"/>
          <w:sz w:val="27"/>
          <w:szCs w:val="27"/>
          <w:vertAlign w:val="superscript"/>
          <w:lang w:val="fr-FR"/>
        </w:rPr>
        <w:t>2</w:t>
      </w:r>
      <w:r w:rsidRPr="00A82B14">
        <w:rPr>
          <w:rFonts w:ascii="Times New Roman" w:hAnsi="Times New Roman"/>
          <w:sz w:val="27"/>
          <w:szCs w:val="27"/>
          <w:lang w:val="fr-FR"/>
        </w:rPr>
        <w:t>, L</w:t>
      </w:r>
      <w:r>
        <w:rPr>
          <w:rFonts w:ascii="Times New Roman" w:hAnsi="Times New Roman"/>
          <w:sz w:val="27"/>
          <w:szCs w:val="27"/>
          <w:lang w:val="fr-FR"/>
        </w:rPr>
        <w:t>e</w:t>
      </w:r>
      <w:r w:rsidRPr="00A82B14">
        <w:rPr>
          <w:rFonts w:ascii="Times New Roman" w:hAnsi="Times New Roman"/>
          <w:sz w:val="27"/>
          <w:szCs w:val="27"/>
          <w:lang w:val="fr-FR"/>
        </w:rPr>
        <w:t xml:space="preserve"> V</w:t>
      </w:r>
      <w:r>
        <w:rPr>
          <w:rFonts w:ascii="Times New Roman" w:hAnsi="Times New Roman"/>
          <w:sz w:val="27"/>
          <w:szCs w:val="27"/>
          <w:lang w:val="fr-FR"/>
        </w:rPr>
        <w:t>a</w:t>
      </w:r>
      <w:r w:rsidRPr="00A82B14">
        <w:rPr>
          <w:rFonts w:ascii="Times New Roman" w:hAnsi="Times New Roman"/>
          <w:sz w:val="27"/>
          <w:szCs w:val="27"/>
          <w:lang w:val="fr-FR"/>
        </w:rPr>
        <w:t>n Chi</w:t>
      </w:r>
      <w:r>
        <w:rPr>
          <w:rFonts w:ascii="Times New Roman" w:hAnsi="Times New Roman"/>
          <w:sz w:val="27"/>
          <w:szCs w:val="27"/>
          <w:lang w:val="fr-FR"/>
        </w:rPr>
        <w:t>e</w:t>
      </w:r>
      <w:r w:rsidRPr="00A82B14">
        <w:rPr>
          <w:rFonts w:ascii="Times New Roman" w:hAnsi="Times New Roman"/>
          <w:sz w:val="27"/>
          <w:szCs w:val="27"/>
          <w:lang w:val="fr-FR"/>
        </w:rPr>
        <w:t>u</w:t>
      </w:r>
      <w:r w:rsidRPr="00A82B14">
        <w:rPr>
          <w:rFonts w:ascii="Times New Roman" w:hAnsi="Times New Roman"/>
          <w:sz w:val="27"/>
          <w:szCs w:val="27"/>
          <w:vertAlign w:val="superscript"/>
          <w:lang w:val="fr-FR"/>
        </w:rPr>
        <w:t>3</w:t>
      </w:r>
    </w:p>
    <w:p w:rsidR="00225E6B" w:rsidRPr="0042106C" w:rsidRDefault="004F7590" w:rsidP="005475BE">
      <w:pPr>
        <w:tabs>
          <w:tab w:val="left" w:pos="426"/>
          <w:tab w:val="left" w:pos="10348"/>
        </w:tabs>
        <w:spacing w:before="120" w:after="0" w:line="280" w:lineRule="atLeast"/>
        <w:ind w:right="-28"/>
        <w:jc w:val="center"/>
        <w:rPr>
          <w:rFonts w:ascii="Times New Roman" w:hAnsi="Times New Roman"/>
          <w:i/>
          <w:sz w:val="21"/>
          <w:szCs w:val="21"/>
        </w:rPr>
      </w:pPr>
      <w:r>
        <w:rPr>
          <w:rFonts w:ascii="Times New Roman" w:hAnsi="Times New Roman"/>
          <w:i/>
          <w:sz w:val="21"/>
          <w:szCs w:val="21"/>
          <w:vertAlign w:val="superscript"/>
        </w:rPr>
        <w:t>1</w:t>
      </w:r>
      <w:r w:rsidR="00225E6B" w:rsidRPr="0042106C">
        <w:rPr>
          <w:rFonts w:ascii="Times New Roman" w:hAnsi="Times New Roman"/>
          <w:i/>
          <w:sz w:val="21"/>
          <w:szCs w:val="21"/>
        </w:rPr>
        <w:t xml:space="preserve">Research Center for Environmental Technology Environment and Sustainable </w:t>
      </w:r>
      <w:r w:rsidR="0083442A">
        <w:rPr>
          <w:rFonts w:ascii="Times New Roman" w:hAnsi="Times New Roman"/>
          <w:i/>
          <w:sz w:val="21"/>
          <w:szCs w:val="21"/>
        </w:rPr>
        <w:t>D</w:t>
      </w:r>
      <w:r w:rsidR="00225E6B" w:rsidRPr="0042106C">
        <w:rPr>
          <w:rFonts w:ascii="Times New Roman" w:hAnsi="Times New Roman"/>
          <w:i/>
          <w:sz w:val="21"/>
          <w:szCs w:val="21"/>
        </w:rPr>
        <w:t>evelopment</w:t>
      </w:r>
      <w:r w:rsidR="0083442A">
        <w:rPr>
          <w:rFonts w:ascii="Times New Roman" w:hAnsi="Times New Roman"/>
          <w:i/>
          <w:sz w:val="21"/>
          <w:szCs w:val="21"/>
        </w:rPr>
        <w:t xml:space="preserve"> (CETASD)</w:t>
      </w:r>
      <w:r w:rsidR="00225E6B" w:rsidRPr="00581AB7">
        <w:rPr>
          <w:rFonts w:ascii="Times New Roman" w:hAnsi="Times New Roman"/>
          <w:i/>
          <w:sz w:val="21"/>
          <w:szCs w:val="21"/>
        </w:rPr>
        <w:t>,</w:t>
      </w:r>
    </w:p>
    <w:p w:rsidR="0048683C" w:rsidRDefault="0083442A" w:rsidP="005475BE">
      <w:pPr>
        <w:tabs>
          <w:tab w:val="left" w:pos="10348"/>
        </w:tabs>
        <w:spacing w:after="0" w:line="280" w:lineRule="atLeast"/>
        <w:ind w:right="-29"/>
        <w:jc w:val="center"/>
        <w:rPr>
          <w:rFonts w:ascii="Times New Roman" w:hAnsi="Times New Roman"/>
          <w:i/>
          <w:sz w:val="21"/>
          <w:szCs w:val="21"/>
          <w:vertAlign w:val="superscript"/>
        </w:rPr>
      </w:pPr>
      <w:r>
        <w:rPr>
          <w:rFonts w:ascii="Times New Roman" w:hAnsi="Times New Roman"/>
          <w:i/>
          <w:sz w:val="21"/>
          <w:szCs w:val="21"/>
        </w:rPr>
        <w:t xml:space="preserve">VNU </w:t>
      </w:r>
      <w:r w:rsidR="0048683C" w:rsidRPr="0042106C">
        <w:rPr>
          <w:rFonts w:ascii="Times New Roman" w:hAnsi="Times New Roman"/>
          <w:i/>
          <w:sz w:val="21"/>
          <w:szCs w:val="21"/>
        </w:rPr>
        <w:t>University of Science</w:t>
      </w:r>
    </w:p>
    <w:p w:rsidR="004F7590" w:rsidRDefault="0048683C" w:rsidP="005475BE">
      <w:pPr>
        <w:tabs>
          <w:tab w:val="left" w:pos="10348"/>
        </w:tabs>
        <w:spacing w:after="0" w:line="280" w:lineRule="atLeast"/>
        <w:ind w:right="-29"/>
        <w:jc w:val="center"/>
        <w:rPr>
          <w:rFonts w:ascii="Times New Roman" w:hAnsi="Times New Roman"/>
          <w:i/>
          <w:sz w:val="21"/>
          <w:szCs w:val="21"/>
        </w:rPr>
      </w:pPr>
      <w:r>
        <w:rPr>
          <w:rFonts w:ascii="Times New Roman" w:hAnsi="Times New Roman"/>
          <w:i/>
          <w:sz w:val="21"/>
          <w:szCs w:val="21"/>
          <w:vertAlign w:val="superscript"/>
        </w:rPr>
        <w:t>2</w:t>
      </w:r>
      <w:r>
        <w:rPr>
          <w:rFonts w:ascii="Times New Roman" w:hAnsi="Times New Roman"/>
          <w:i/>
          <w:sz w:val="21"/>
          <w:szCs w:val="21"/>
        </w:rPr>
        <w:t xml:space="preserve">Faculty of Chemistry, Hanoi </w:t>
      </w:r>
      <w:r w:rsidRPr="0042106C">
        <w:rPr>
          <w:rFonts w:ascii="Times New Roman" w:hAnsi="Times New Roman"/>
          <w:i/>
          <w:sz w:val="21"/>
          <w:szCs w:val="21"/>
        </w:rPr>
        <w:t>University of Science</w:t>
      </w:r>
      <w:r>
        <w:rPr>
          <w:rFonts w:ascii="Times New Roman" w:hAnsi="Times New Roman"/>
          <w:i/>
          <w:sz w:val="21"/>
          <w:szCs w:val="21"/>
        </w:rPr>
        <w:t>, VNU</w:t>
      </w:r>
    </w:p>
    <w:p w:rsidR="00A82B14" w:rsidRPr="00A82B14" w:rsidRDefault="00A82B14" w:rsidP="00A82B14">
      <w:pPr>
        <w:spacing w:after="0" w:line="280" w:lineRule="atLeast"/>
        <w:jc w:val="center"/>
        <w:rPr>
          <w:rFonts w:ascii="Times New Roman" w:hAnsi="Times New Roman"/>
          <w:i/>
          <w:sz w:val="21"/>
          <w:szCs w:val="21"/>
        </w:rPr>
      </w:pPr>
      <w:r w:rsidRPr="00A82B14">
        <w:rPr>
          <w:rFonts w:ascii="Times New Roman" w:hAnsi="Times New Roman"/>
          <w:i/>
          <w:sz w:val="21"/>
          <w:szCs w:val="21"/>
        </w:rPr>
        <w:t>(3) VNU Projects Management Department</w:t>
      </w:r>
    </w:p>
    <w:p w:rsidR="00225E6B" w:rsidRPr="00581AB7" w:rsidRDefault="00225E6B" w:rsidP="00655126">
      <w:pPr>
        <w:spacing w:before="240" w:after="60" w:line="240" w:lineRule="atLeast"/>
        <w:ind w:left="357" w:right="357"/>
        <w:jc w:val="both"/>
        <w:rPr>
          <w:rFonts w:ascii="Times New Roman" w:hAnsi="Times New Roman"/>
          <w:sz w:val="20"/>
          <w:szCs w:val="20"/>
        </w:rPr>
      </w:pPr>
      <w:r w:rsidRPr="00581AB7">
        <w:rPr>
          <w:rFonts w:ascii="Times New Roman" w:hAnsi="Times New Roman"/>
          <w:b/>
          <w:i/>
          <w:sz w:val="20"/>
          <w:szCs w:val="20"/>
        </w:rPr>
        <w:t>Abstract</w:t>
      </w:r>
      <w:r w:rsidR="00E406D9">
        <w:rPr>
          <w:rFonts w:ascii="Times New Roman" w:hAnsi="Times New Roman"/>
          <w:b/>
          <w:i/>
          <w:sz w:val="20"/>
          <w:szCs w:val="20"/>
        </w:rPr>
        <w:t>.</w:t>
      </w:r>
      <w:r w:rsidRPr="00581AB7">
        <w:rPr>
          <w:rFonts w:ascii="Times New Roman" w:hAnsi="Times New Roman"/>
          <w:sz w:val="20"/>
          <w:szCs w:val="20"/>
        </w:rPr>
        <w:t xml:space="preserve"> In Vietnam, there are many technologies for treating of textile wastewater. Microbiological step in most of</w:t>
      </w:r>
      <w:r w:rsidR="00EE4FB1">
        <w:rPr>
          <w:rFonts w:ascii="Times New Roman" w:hAnsi="Times New Roman"/>
          <w:sz w:val="20"/>
          <w:szCs w:val="20"/>
        </w:rPr>
        <w:t xml:space="preserve"> cases </w:t>
      </w:r>
      <w:r w:rsidRPr="00581AB7">
        <w:rPr>
          <w:rFonts w:ascii="Times New Roman" w:hAnsi="Times New Roman"/>
          <w:sz w:val="20"/>
          <w:szCs w:val="20"/>
        </w:rPr>
        <w:t>is widely used because of its ecological and econom</w:t>
      </w:r>
      <w:r w:rsidR="00EE4FB1">
        <w:rPr>
          <w:rFonts w:ascii="Times New Roman" w:hAnsi="Times New Roman"/>
          <w:sz w:val="20"/>
          <w:szCs w:val="20"/>
        </w:rPr>
        <w:t>ical nature</w:t>
      </w:r>
      <w:r w:rsidRPr="00581AB7">
        <w:rPr>
          <w:rFonts w:ascii="Times New Roman" w:hAnsi="Times New Roman"/>
          <w:sz w:val="20"/>
          <w:szCs w:val="20"/>
        </w:rPr>
        <w:t>. However, this</w:t>
      </w:r>
      <w:r w:rsidR="00EE4FB1">
        <w:rPr>
          <w:rFonts w:ascii="Times New Roman" w:hAnsi="Times New Roman"/>
          <w:sz w:val="20"/>
          <w:szCs w:val="20"/>
        </w:rPr>
        <w:t xml:space="preserve"> process</w:t>
      </w:r>
      <w:r w:rsidRPr="00581AB7">
        <w:rPr>
          <w:rFonts w:ascii="Times New Roman" w:hAnsi="Times New Roman"/>
          <w:sz w:val="20"/>
          <w:szCs w:val="20"/>
        </w:rPr>
        <w:t xml:space="preserve"> hasn’t generally effected due to</w:t>
      </w:r>
      <w:r w:rsidR="00EE4FB1">
        <w:rPr>
          <w:rFonts w:ascii="Times New Roman" w:hAnsi="Times New Roman"/>
          <w:sz w:val="20"/>
          <w:szCs w:val="20"/>
        </w:rPr>
        <w:t xml:space="preserve"> inhibition of microbes and other dyeing chemicals</w:t>
      </w:r>
      <w:r w:rsidRPr="00581AB7">
        <w:rPr>
          <w:rFonts w:ascii="Times New Roman" w:hAnsi="Times New Roman"/>
          <w:sz w:val="20"/>
          <w:szCs w:val="20"/>
        </w:rPr>
        <w:t xml:space="preserve"> that are very durable, even toxic. In order to solve this problem, powdered activated carbon is added to enhance the </w:t>
      </w:r>
      <w:r w:rsidRPr="00581AB7">
        <w:rPr>
          <w:rFonts w:ascii="Times New Roman" w:hAnsi="Times New Roman"/>
          <w:sz w:val="20"/>
          <w:szCs w:val="20"/>
        </w:rPr>
        <w:lastRenderedPageBreak/>
        <w:t>exposure of the substrate with the activated sludge</w:t>
      </w:r>
      <w:r w:rsidR="00E85149">
        <w:rPr>
          <w:rFonts w:ascii="Times New Roman" w:hAnsi="Times New Roman"/>
          <w:sz w:val="20"/>
          <w:szCs w:val="20"/>
        </w:rPr>
        <w:t xml:space="preserve"> in activated sludge process</w:t>
      </w:r>
      <w:r w:rsidRPr="00581AB7">
        <w:rPr>
          <w:rFonts w:ascii="Times New Roman" w:hAnsi="Times New Roman"/>
          <w:sz w:val="20"/>
          <w:szCs w:val="20"/>
        </w:rPr>
        <w:t xml:space="preserve">. The results showed that activated sludge system with powdered activated carbon is not inhibited, biomass is well developed compared to activated sludge system without powdered activated carbon. The values of COD in treatmented wastewater by system with powdered activated carbon were approximately COD values specified in </w:t>
      </w:r>
      <w:r w:rsidR="00E85149">
        <w:rPr>
          <w:rFonts w:ascii="Times New Roman" w:hAnsi="Times New Roman"/>
          <w:bCs/>
          <w:sz w:val="20"/>
          <w:szCs w:val="20"/>
        </w:rPr>
        <w:t>QCVN 13-MT:2015/BTNMT (B)</w:t>
      </w:r>
      <w:r w:rsidRPr="00581AB7">
        <w:rPr>
          <w:rFonts w:ascii="Times New Roman" w:hAnsi="Times New Roman"/>
          <w:sz w:val="20"/>
          <w:szCs w:val="20"/>
        </w:rPr>
        <w:t xml:space="preserve">, while the values of COD in treatmented wastewater by system without powdered activated carbon were higher </w:t>
      </w:r>
      <w:r w:rsidR="00E85149">
        <w:rPr>
          <w:rFonts w:ascii="Times New Roman" w:hAnsi="Times New Roman"/>
          <w:bCs/>
          <w:sz w:val="20"/>
          <w:szCs w:val="20"/>
        </w:rPr>
        <w:t xml:space="preserve">QCVN 13-MT:2015/BTNMT (B) </w:t>
      </w:r>
      <w:r w:rsidRPr="00581AB7">
        <w:rPr>
          <w:rFonts w:ascii="Times New Roman" w:hAnsi="Times New Roman"/>
          <w:sz w:val="20"/>
          <w:szCs w:val="20"/>
        </w:rPr>
        <w:t>from 1.85 to 2.33 times.</w:t>
      </w:r>
    </w:p>
    <w:p w:rsidR="00D7720B" w:rsidRPr="00212504" w:rsidRDefault="00225E6B" w:rsidP="00655126">
      <w:pPr>
        <w:spacing w:before="60" w:after="60" w:line="240" w:lineRule="atLeast"/>
        <w:ind w:left="357" w:right="357"/>
        <w:jc w:val="both"/>
        <w:rPr>
          <w:rFonts w:ascii="Times New Roman" w:hAnsi="Times New Roman"/>
          <w:sz w:val="20"/>
          <w:szCs w:val="20"/>
        </w:rPr>
      </w:pPr>
      <w:r w:rsidRPr="0083442A">
        <w:rPr>
          <w:rFonts w:ascii="Times New Roman" w:hAnsi="Times New Roman"/>
          <w:i/>
          <w:sz w:val="20"/>
          <w:szCs w:val="20"/>
        </w:rPr>
        <w:t>Keywords:</w:t>
      </w:r>
      <w:r w:rsidRPr="00581AB7">
        <w:rPr>
          <w:rFonts w:ascii="Times New Roman" w:hAnsi="Times New Roman"/>
          <w:sz w:val="20"/>
          <w:szCs w:val="20"/>
        </w:rPr>
        <w:t xml:space="preserve"> textile wastewater, activated sludge, activated carbon.</w:t>
      </w:r>
    </w:p>
    <w:sectPr w:rsidR="00D7720B" w:rsidRPr="00212504" w:rsidSect="00A82B14">
      <w:footerReference w:type="default" r:id="rId15"/>
      <w:footnotePr>
        <w:numFmt w:val="chicago"/>
      </w:footnotePr>
      <w:pgSz w:w="11907" w:h="16840" w:code="9"/>
      <w:pgMar w:top="993" w:right="1417" w:bottom="993" w:left="1417" w:header="720" w:footer="850" w:gutter="0"/>
      <w:pgNumType w:start="1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41" w:rsidRDefault="00731741" w:rsidP="00CF1402">
      <w:pPr>
        <w:spacing w:after="0" w:line="240" w:lineRule="auto"/>
      </w:pPr>
      <w:r>
        <w:separator/>
      </w:r>
    </w:p>
  </w:endnote>
  <w:endnote w:type="continuationSeparator" w:id="0">
    <w:p w:rsidR="00731741" w:rsidRDefault="00731741" w:rsidP="00CF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0B" w:rsidRPr="00191A19" w:rsidRDefault="00D7720B" w:rsidP="00191A19">
    <w:pPr>
      <w:pStyle w:val="Footer"/>
      <w:spacing w:after="0" w:line="280" w:lineRule="atLeast"/>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41" w:rsidRDefault="00731741" w:rsidP="00CF1402">
      <w:pPr>
        <w:spacing w:after="0" w:line="240" w:lineRule="auto"/>
      </w:pPr>
      <w:r>
        <w:separator/>
      </w:r>
    </w:p>
  </w:footnote>
  <w:footnote w:type="continuationSeparator" w:id="0">
    <w:p w:rsidR="00731741" w:rsidRDefault="00731741" w:rsidP="00CF1402">
      <w:pPr>
        <w:spacing w:after="0" w:line="240" w:lineRule="auto"/>
      </w:pPr>
      <w:r>
        <w:continuationSeparator/>
      </w:r>
    </w:p>
  </w:footnote>
  <w:footnote w:id="1">
    <w:p w:rsidR="00A82B14" w:rsidRPr="00F157CB" w:rsidRDefault="00A82B14" w:rsidP="00A82B14">
      <w:pPr>
        <w:pStyle w:val="FootnoteText"/>
        <w:rPr>
          <w:rFonts w:ascii="Times New Roman" w:hAnsi="Times New Roman"/>
          <w:sz w:val="18"/>
          <w:szCs w:val="18"/>
        </w:rPr>
      </w:pPr>
      <w:r>
        <w:rPr>
          <w:rStyle w:val="FootnoteReference"/>
        </w:rPr>
        <w:footnoteRef/>
      </w:r>
      <w:r>
        <w:t xml:space="preserve"> </w:t>
      </w:r>
      <w:r w:rsidRPr="00F157CB">
        <w:rPr>
          <w:rFonts w:ascii="Times New Roman" w:hAnsi="Times New Roman"/>
          <w:sz w:val="18"/>
          <w:szCs w:val="18"/>
        </w:rPr>
        <w:t>Tác giả liên hệ. ĐT: 84-904189510.</w:t>
      </w:r>
    </w:p>
    <w:p w:rsidR="00A82B14" w:rsidRDefault="00A82B14" w:rsidP="00A82B14">
      <w:pPr>
        <w:pStyle w:val="FootnoteText"/>
      </w:pPr>
      <w:r>
        <w:rPr>
          <w:rFonts w:ascii="Times New Roman" w:hAnsi="Times New Roman"/>
          <w:sz w:val="18"/>
          <w:szCs w:val="18"/>
        </w:rPr>
        <w:t xml:space="preserve">   </w:t>
      </w:r>
      <w:r w:rsidRPr="00F157CB">
        <w:rPr>
          <w:rFonts w:ascii="Times New Roman" w:hAnsi="Times New Roman"/>
          <w:sz w:val="18"/>
          <w:szCs w:val="18"/>
        </w:rPr>
        <w:t>Email: caotheha@gmail.com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65A"/>
    <w:multiLevelType w:val="hybridMultilevel"/>
    <w:tmpl w:val="B4082294"/>
    <w:lvl w:ilvl="0" w:tplc="D43A4774">
      <w:start w:val="1"/>
      <w:numFmt w:val="decimal"/>
      <w:pStyle w:val="nidungTLTK-Ctrl4"/>
      <w:lvlText w:val="[%1]"/>
      <w:lvlJc w:val="right"/>
      <w:pPr>
        <w:tabs>
          <w:tab w:val="num" w:pos="510"/>
        </w:tabs>
        <w:ind w:left="510" w:hanging="113"/>
      </w:pPr>
      <w:rPr>
        <w:rFonts w:ascii="Times New Roman" w:hAnsi="Times New Roman" w:cs="Times New Roman" w:hint="default"/>
        <w:b w:val="0"/>
        <w:i w:val="0"/>
        <w:sz w:val="19"/>
        <w:szCs w:val="19"/>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990356"/>
    <w:multiLevelType w:val="hybridMultilevel"/>
    <w:tmpl w:val="68FAC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80C61"/>
    <w:multiLevelType w:val="hybridMultilevel"/>
    <w:tmpl w:val="0EA08720"/>
    <w:lvl w:ilvl="0" w:tplc="AC56E424">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A6B5E"/>
    <w:multiLevelType w:val="hybridMultilevel"/>
    <w:tmpl w:val="7CF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0751E"/>
    <w:multiLevelType w:val="hybridMultilevel"/>
    <w:tmpl w:val="945C26BA"/>
    <w:lvl w:ilvl="0" w:tplc="F1FA9D3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91B5DDD"/>
    <w:multiLevelType w:val="hybridMultilevel"/>
    <w:tmpl w:val="6A2459DC"/>
    <w:lvl w:ilvl="0" w:tplc="5CF8F7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F344E"/>
    <w:multiLevelType w:val="hybridMultilevel"/>
    <w:tmpl w:val="04EAD748"/>
    <w:lvl w:ilvl="0" w:tplc="19D8C91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90824"/>
    <w:multiLevelType w:val="hybridMultilevel"/>
    <w:tmpl w:val="FB2A0C32"/>
    <w:lvl w:ilvl="0" w:tplc="AC56E424">
      <w:start w:val="1"/>
      <w:numFmt w:val="decimal"/>
      <w:lvlText w:val="[%1]"/>
      <w:lvlJc w:val="left"/>
      <w:pPr>
        <w:ind w:left="590" w:hanging="360"/>
      </w:pPr>
      <w:rPr>
        <w:rFonts w:cs="Times New Roman" w:hint="default"/>
      </w:rPr>
    </w:lvl>
    <w:lvl w:ilvl="1" w:tplc="04090019" w:tentative="1">
      <w:start w:val="1"/>
      <w:numFmt w:val="lowerLetter"/>
      <w:lvlText w:val="%2."/>
      <w:lvlJc w:val="left"/>
      <w:pPr>
        <w:ind w:left="1310" w:hanging="360"/>
      </w:pPr>
      <w:rPr>
        <w:rFonts w:cs="Times New Roman"/>
      </w:rPr>
    </w:lvl>
    <w:lvl w:ilvl="2" w:tplc="0409001B" w:tentative="1">
      <w:start w:val="1"/>
      <w:numFmt w:val="lowerRoman"/>
      <w:lvlText w:val="%3."/>
      <w:lvlJc w:val="right"/>
      <w:pPr>
        <w:ind w:left="2030" w:hanging="180"/>
      </w:pPr>
      <w:rPr>
        <w:rFonts w:cs="Times New Roman"/>
      </w:rPr>
    </w:lvl>
    <w:lvl w:ilvl="3" w:tplc="0409000F" w:tentative="1">
      <w:start w:val="1"/>
      <w:numFmt w:val="decimal"/>
      <w:lvlText w:val="%4."/>
      <w:lvlJc w:val="left"/>
      <w:pPr>
        <w:ind w:left="2750" w:hanging="360"/>
      </w:pPr>
      <w:rPr>
        <w:rFonts w:cs="Times New Roman"/>
      </w:rPr>
    </w:lvl>
    <w:lvl w:ilvl="4" w:tplc="04090019" w:tentative="1">
      <w:start w:val="1"/>
      <w:numFmt w:val="lowerLetter"/>
      <w:lvlText w:val="%5."/>
      <w:lvlJc w:val="left"/>
      <w:pPr>
        <w:ind w:left="3470" w:hanging="360"/>
      </w:pPr>
      <w:rPr>
        <w:rFonts w:cs="Times New Roman"/>
      </w:rPr>
    </w:lvl>
    <w:lvl w:ilvl="5" w:tplc="0409001B" w:tentative="1">
      <w:start w:val="1"/>
      <w:numFmt w:val="lowerRoman"/>
      <w:lvlText w:val="%6."/>
      <w:lvlJc w:val="right"/>
      <w:pPr>
        <w:ind w:left="4190" w:hanging="180"/>
      </w:pPr>
      <w:rPr>
        <w:rFonts w:cs="Times New Roman"/>
      </w:rPr>
    </w:lvl>
    <w:lvl w:ilvl="6" w:tplc="0409000F" w:tentative="1">
      <w:start w:val="1"/>
      <w:numFmt w:val="decimal"/>
      <w:lvlText w:val="%7."/>
      <w:lvlJc w:val="left"/>
      <w:pPr>
        <w:ind w:left="4910" w:hanging="360"/>
      </w:pPr>
      <w:rPr>
        <w:rFonts w:cs="Times New Roman"/>
      </w:rPr>
    </w:lvl>
    <w:lvl w:ilvl="7" w:tplc="04090019" w:tentative="1">
      <w:start w:val="1"/>
      <w:numFmt w:val="lowerLetter"/>
      <w:lvlText w:val="%8."/>
      <w:lvlJc w:val="left"/>
      <w:pPr>
        <w:ind w:left="5630" w:hanging="360"/>
      </w:pPr>
      <w:rPr>
        <w:rFonts w:cs="Times New Roman"/>
      </w:rPr>
    </w:lvl>
    <w:lvl w:ilvl="8" w:tplc="0409001B" w:tentative="1">
      <w:start w:val="1"/>
      <w:numFmt w:val="lowerRoman"/>
      <w:lvlText w:val="%9."/>
      <w:lvlJc w:val="right"/>
      <w:pPr>
        <w:ind w:left="6350" w:hanging="180"/>
      </w:pPr>
      <w:rPr>
        <w:rFonts w:cs="Times New Roman"/>
      </w:rPr>
    </w:lvl>
  </w:abstractNum>
  <w:abstractNum w:abstractNumId="8">
    <w:nsid w:val="3FCB7E78"/>
    <w:multiLevelType w:val="hybridMultilevel"/>
    <w:tmpl w:val="3DE4E7EC"/>
    <w:lvl w:ilvl="0" w:tplc="B22E0190">
      <w:start w:val="1"/>
      <w:numFmt w:val="decimal"/>
      <w:lvlText w:val="3.%1."/>
      <w:lvlJc w:val="left"/>
      <w:pPr>
        <w:tabs>
          <w:tab w:val="num" w:pos="-1068"/>
        </w:tabs>
        <w:ind w:left="624" w:hanging="264"/>
      </w:pPr>
      <w:rPr>
        <w:rFonts w:cs="Times New Roman" w:hint="default"/>
        <w:color w:val="0000CC"/>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9">
    <w:nsid w:val="4252182D"/>
    <w:multiLevelType w:val="hybridMultilevel"/>
    <w:tmpl w:val="16C019E2"/>
    <w:lvl w:ilvl="0" w:tplc="AD4CD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9769A"/>
    <w:multiLevelType w:val="hybridMultilevel"/>
    <w:tmpl w:val="AABC64E8"/>
    <w:lvl w:ilvl="0" w:tplc="AD4CD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73048"/>
    <w:multiLevelType w:val="hybridMultilevel"/>
    <w:tmpl w:val="D6843A96"/>
    <w:lvl w:ilvl="0" w:tplc="D4F8B73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B56390B"/>
    <w:multiLevelType w:val="hybridMultilevel"/>
    <w:tmpl w:val="01FA49D0"/>
    <w:lvl w:ilvl="0" w:tplc="FBCE99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D1C3786"/>
    <w:multiLevelType w:val="hybridMultilevel"/>
    <w:tmpl w:val="9EFE00A8"/>
    <w:lvl w:ilvl="0" w:tplc="99ACFCC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8619E"/>
    <w:multiLevelType w:val="hybridMultilevel"/>
    <w:tmpl w:val="80000BBA"/>
    <w:lvl w:ilvl="0" w:tplc="AC56E4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D60BA"/>
    <w:multiLevelType w:val="hybridMultilevel"/>
    <w:tmpl w:val="92485E34"/>
    <w:lvl w:ilvl="0" w:tplc="C39491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E57877"/>
    <w:multiLevelType w:val="hybridMultilevel"/>
    <w:tmpl w:val="68CE2F86"/>
    <w:lvl w:ilvl="0" w:tplc="5CF8F724">
      <w:start w:val="1"/>
      <w:numFmt w:val="bullet"/>
      <w:lvlText w:val=""/>
      <w:lvlJc w:val="left"/>
      <w:pPr>
        <w:ind w:left="720" w:hanging="360"/>
      </w:pPr>
      <w:rPr>
        <w:rFonts w:ascii="Symbol" w:hAnsi="Symbol" w:hint="default"/>
      </w:rPr>
    </w:lvl>
    <w:lvl w:ilvl="1" w:tplc="96B067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12169"/>
    <w:multiLevelType w:val="hybridMultilevel"/>
    <w:tmpl w:val="5C06CE10"/>
    <w:lvl w:ilvl="0" w:tplc="666EFFC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2114C12"/>
    <w:multiLevelType w:val="hybridMultilevel"/>
    <w:tmpl w:val="0EA08720"/>
    <w:lvl w:ilvl="0" w:tplc="AC56E424">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51C59"/>
    <w:multiLevelType w:val="hybridMultilevel"/>
    <w:tmpl w:val="60840ABC"/>
    <w:lvl w:ilvl="0" w:tplc="FAB4935C">
      <w:start w:val="1"/>
      <w:numFmt w:val="decimal"/>
      <w:lvlText w:val="2.%1."/>
      <w:lvlJc w:val="left"/>
      <w:pPr>
        <w:tabs>
          <w:tab w:val="num" w:pos="-1203"/>
        </w:tabs>
        <w:ind w:left="227" w:firstLine="57"/>
      </w:pPr>
      <w:rPr>
        <w:rFonts w:cs="Times New Roman" w:hint="default"/>
        <w:color w:val="0000CC"/>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20">
    <w:nsid w:val="76D22FAD"/>
    <w:multiLevelType w:val="hybridMultilevel"/>
    <w:tmpl w:val="C450D4F4"/>
    <w:lvl w:ilvl="0" w:tplc="F0FA61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14"/>
  </w:num>
  <w:num w:numId="5">
    <w:abstractNumId w:val="16"/>
  </w:num>
  <w:num w:numId="6">
    <w:abstractNumId w:val="20"/>
  </w:num>
  <w:num w:numId="7">
    <w:abstractNumId w:val="5"/>
  </w:num>
  <w:num w:numId="8">
    <w:abstractNumId w:val="15"/>
  </w:num>
  <w:num w:numId="9">
    <w:abstractNumId w:val="3"/>
  </w:num>
  <w:num w:numId="10">
    <w:abstractNumId w:val="6"/>
  </w:num>
  <w:num w:numId="11">
    <w:abstractNumId w:val="12"/>
  </w:num>
  <w:num w:numId="12">
    <w:abstractNumId w:val="2"/>
  </w:num>
  <w:num w:numId="13">
    <w:abstractNumId w:val="13"/>
  </w:num>
  <w:num w:numId="14">
    <w:abstractNumId w:val="0"/>
  </w:num>
  <w:num w:numId="15">
    <w:abstractNumId w:val="11"/>
  </w:num>
  <w:num w:numId="16">
    <w:abstractNumId w:val="18"/>
  </w:num>
  <w:num w:numId="17">
    <w:abstractNumId w:val="10"/>
  </w:num>
  <w:num w:numId="18">
    <w:abstractNumId w:val="9"/>
  </w:num>
  <w:num w:numId="19">
    <w:abstractNumId w:val="1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281894"/>
    <w:rsid w:val="00000270"/>
    <w:rsid w:val="000008F7"/>
    <w:rsid w:val="00000F5C"/>
    <w:rsid w:val="00007590"/>
    <w:rsid w:val="00015BDA"/>
    <w:rsid w:val="00015CD2"/>
    <w:rsid w:val="00017596"/>
    <w:rsid w:val="00017E20"/>
    <w:rsid w:val="00017FE6"/>
    <w:rsid w:val="000200C7"/>
    <w:rsid w:val="000213E6"/>
    <w:rsid w:val="00027E94"/>
    <w:rsid w:val="000311D3"/>
    <w:rsid w:val="00032611"/>
    <w:rsid w:val="0003527A"/>
    <w:rsid w:val="00037546"/>
    <w:rsid w:val="00040D60"/>
    <w:rsid w:val="000517AF"/>
    <w:rsid w:val="000579AC"/>
    <w:rsid w:val="00060177"/>
    <w:rsid w:val="00064AB3"/>
    <w:rsid w:val="00064ED6"/>
    <w:rsid w:val="00065891"/>
    <w:rsid w:val="000701D6"/>
    <w:rsid w:val="000711CB"/>
    <w:rsid w:val="00073044"/>
    <w:rsid w:val="00074CA6"/>
    <w:rsid w:val="000766BC"/>
    <w:rsid w:val="0008233C"/>
    <w:rsid w:val="00086A3A"/>
    <w:rsid w:val="00087C62"/>
    <w:rsid w:val="00097D9B"/>
    <w:rsid w:val="000A2E11"/>
    <w:rsid w:val="000A2F1E"/>
    <w:rsid w:val="000A7125"/>
    <w:rsid w:val="000A7170"/>
    <w:rsid w:val="000B315F"/>
    <w:rsid w:val="000B62EE"/>
    <w:rsid w:val="000D2A83"/>
    <w:rsid w:val="000D63DD"/>
    <w:rsid w:val="000D6987"/>
    <w:rsid w:val="000E2B7A"/>
    <w:rsid w:val="000E3AE4"/>
    <w:rsid w:val="000E425D"/>
    <w:rsid w:val="000E5BD3"/>
    <w:rsid w:val="000E7297"/>
    <w:rsid w:val="000F0521"/>
    <w:rsid w:val="000F32E0"/>
    <w:rsid w:val="001007DE"/>
    <w:rsid w:val="00101FC7"/>
    <w:rsid w:val="00106A85"/>
    <w:rsid w:val="0011089C"/>
    <w:rsid w:val="00111B84"/>
    <w:rsid w:val="00113BC2"/>
    <w:rsid w:val="00114006"/>
    <w:rsid w:val="001148A4"/>
    <w:rsid w:val="00114ABF"/>
    <w:rsid w:val="00116759"/>
    <w:rsid w:val="00116DF8"/>
    <w:rsid w:val="0011784F"/>
    <w:rsid w:val="0012664C"/>
    <w:rsid w:val="0012737F"/>
    <w:rsid w:val="00131A16"/>
    <w:rsid w:val="00136BAB"/>
    <w:rsid w:val="0014341C"/>
    <w:rsid w:val="001516B8"/>
    <w:rsid w:val="00152F12"/>
    <w:rsid w:val="001546C0"/>
    <w:rsid w:val="0015642E"/>
    <w:rsid w:val="001611A6"/>
    <w:rsid w:val="00170A2D"/>
    <w:rsid w:val="00182101"/>
    <w:rsid w:val="00185A34"/>
    <w:rsid w:val="0018790A"/>
    <w:rsid w:val="00190563"/>
    <w:rsid w:val="00191A19"/>
    <w:rsid w:val="001956DD"/>
    <w:rsid w:val="001A1F95"/>
    <w:rsid w:val="001A6016"/>
    <w:rsid w:val="001B0537"/>
    <w:rsid w:val="001B7827"/>
    <w:rsid w:val="001C0F90"/>
    <w:rsid w:val="001C41D1"/>
    <w:rsid w:val="001C586B"/>
    <w:rsid w:val="001D0D64"/>
    <w:rsid w:val="001D7491"/>
    <w:rsid w:val="001E3034"/>
    <w:rsid w:val="001E3506"/>
    <w:rsid w:val="001E36FA"/>
    <w:rsid w:val="001E3C19"/>
    <w:rsid w:val="001E441A"/>
    <w:rsid w:val="001E5EB9"/>
    <w:rsid w:val="001F178B"/>
    <w:rsid w:val="001F6DD4"/>
    <w:rsid w:val="00201E44"/>
    <w:rsid w:val="002023F6"/>
    <w:rsid w:val="00205A22"/>
    <w:rsid w:val="002113F8"/>
    <w:rsid w:val="00212504"/>
    <w:rsid w:val="0021251F"/>
    <w:rsid w:val="0021788E"/>
    <w:rsid w:val="002227F6"/>
    <w:rsid w:val="00225E6B"/>
    <w:rsid w:val="002268FA"/>
    <w:rsid w:val="0024044B"/>
    <w:rsid w:val="00240937"/>
    <w:rsid w:val="0024195D"/>
    <w:rsid w:val="00242546"/>
    <w:rsid w:val="00244C6E"/>
    <w:rsid w:val="00245923"/>
    <w:rsid w:val="002469A4"/>
    <w:rsid w:val="002534D5"/>
    <w:rsid w:val="00257069"/>
    <w:rsid w:val="00257540"/>
    <w:rsid w:val="00262776"/>
    <w:rsid w:val="0026421A"/>
    <w:rsid w:val="00271442"/>
    <w:rsid w:val="00273B3D"/>
    <w:rsid w:val="002740B5"/>
    <w:rsid w:val="00274883"/>
    <w:rsid w:val="00280111"/>
    <w:rsid w:val="00281894"/>
    <w:rsid w:val="00282971"/>
    <w:rsid w:val="00283FDC"/>
    <w:rsid w:val="00287AFF"/>
    <w:rsid w:val="002933F3"/>
    <w:rsid w:val="002A17AE"/>
    <w:rsid w:val="002A32FD"/>
    <w:rsid w:val="002A3AA9"/>
    <w:rsid w:val="002A4D6C"/>
    <w:rsid w:val="002A58A8"/>
    <w:rsid w:val="002B375C"/>
    <w:rsid w:val="002B4B24"/>
    <w:rsid w:val="002C3CF7"/>
    <w:rsid w:val="002C56A7"/>
    <w:rsid w:val="002D00AC"/>
    <w:rsid w:val="002D6341"/>
    <w:rsid w:val="002F1F33"/>
    <w:rsid w:val="002F23A2"/>
    <w:rsid w:val="00302EC4"/>
    <w:rsid w:val="003036C6"/>
    <w:rsid w:val="00307FFB"/>
    <w:rsid w:val="00310C93"/>
    <w:rsid w:val="00320004"/>
    <w:rsid w:val="00331167"/>
    <w:rsid w:val="0033252A"/>
    <w:rsid w:val="00341909"/>
    <w:rsid w:val="00345C55"/>
    <w:rsid w:val="0034655F"/>
    <w:rsid w:val="0034792B"/>
    <w:rsid w:val="0035293C"/>
    <w:rsid w:val="00356639"/>
    <w:rsid w:val="00364D3F"/>
    <w:rsid w:val="00367B4F"/>
    <w:rsid w:val="00375DBF"/>
    <w:rsid w:val="003900B1"/>
    <w:rsid w:val="00397981"/>
    <w:rsid w:val="003A1A93"/>
    <w:rsid w:val="003A41CC"/>
    <w:rsid w:val="003A55DB"/>
    <w:rsid w:val="003A7452"/>
    <w:rsid w:val="003A7FF0"/>
    <w:rsid w:val="003B3C40"/>
    <w:rsid w:val="003C0C71"/>
    <w:rsid w:val="003C2F16"/>
    <w:rsid w:val="003C6FED"/>
    <w:rsid w:val="003D13F7"/>
    <w:rsid w:val="003D415E"/>
    <w:rsid w:val="003D4F3E"/>
    <w:rsid w:val="003D60B3"/>
    <w:rsid w:val="003E120A"/>
    <w:rsid w:val="003E3C4A"/>
    <w:rsid w:val="003E6B05"/>
    <w:rsid w:val="003F2854"/>
    <w:rsid w:val="003F39FB"/>
    <w:rsid w:val="003F3B65"/>
    <w:rsid w:val="003F6628"/>
    <w:rsid w:val="004031F7"/>
    <w:rsid w:val="00404EC8"/>
    <w:rsid w:val="00406527"/>
    <w:rsid w:val="00407302"/>
    <w:rsid w:val="00407A0F"/>
    <w:rsid w:val="0041007C"/>
    <w:rsid w:val="00413CCF"/>
    <w:rsid w:val="00414C95"/>
    <w:rsid w:val="00422CD5"/>
    <w:rsid w:val="00423168"/>
    <w:rsid w:val="004311ED"/>
    <w:rsid w:val="004317AD"/>
    <w:rsid w:val="00432427"/>
    <w:rsid w:val="00434F46"/>
    <w:rsid w:val="00442E82"/>
    <w:rsid w:val="00457A43"/>
    <w:rsid w:val="00461B08"/>
    <w:rsid w:val="004644A5"/>
    <w:rsid w:val="00471804"/>
    <w:rsid w:val="004734F4"/>
    <w:rsid w:val="0047485D"/>
    <w:rsid w:val="004775F5"/>
    <w:rsid w:val="00484D48"/>
    <w:rsid w:val="0048683C"/>
    <w:rsid w:val="00496240"/>
    <w:rsid w:val="004A1E18"/>
    <w:rsid w:val="004A2289"/>
    <w:rsid w:val="004A3F6B"/>
    <w:rsid w:val="004A5303"/>
    <w:rsid w:val="004A7BD7"/>
    <w:rsid w:val="004A7C2F"/>
    <w:rsid w:val="004B153F"/>
    <w:rsid w:val="004B2B88"/>
    <w:rsid w:val="004C11B0"/>
    <w:rsid w:val="004C4E6A"/>
    <w:rsid w:val="004D0DB3"/>
    <w:rsid w:val="004D46B5"/>
    <w:rsid w:val="004D6A6B"/>
    <w:rsid w:val="004D6C3E"/>
    <w:rsid w:val="004E24F2"/>
    <w:rsid w:val="004F03D4"/>
    <w:rsid w:val="004F1CBD"/>
    <w:rsid w:val="004F7590"/>
    <w:rsid w:val="005003CA"/>
    <w:rsid w:val="005030A5"/>
    <w:rsid w:val="00504BC4"/>
    <w:rsid w:val="0050794E"/>
    <w:rsid w:val="005079F8"/>
    <w:rsid w:val="0051341D"/>
    <w:rsid w:val="0052703B"/>
    <w:rsid w:val="00531E6C"/>
    <w:rsid w:val="005401A8"/>
    <w:rsid w:val="005404E1"/>
    <w:rsid w:val="00540818"/>
    <w:rsid w:val="00540A54"/>
    <w:rsid w:val="00540BE0"/>
    <w:rsid w:val="005447A3"/>
    <w:rsid w:val="0054488B"/>
    <w:rsid w:val="00544981"/>
    <w:rsid w:val="00544AA1"/>
    <w:rsid w:val="005475BE"/>
    <w:rsid w:val="00547C2B"/>
    <w:rsid w:val="00547F16"/>
    <w:rsid w:val="00552CDF"/>
    <w:rsid w:val="005561F6"/>
    <w:rsid w:val="00557757"/>
    <w:rsid w:val="00557E21"/>
    <w:rsid w:val="00565C84"/>
    <w:rsid w:val="005663F8"/>
    <w:rsid w:val="00566F40"/>
    <w:rsid w:val="00572D56"/>
    <w:rsid w:val="00574BC9"/>
    <w:rsid w:val="00583860"/>
    <w:rsid w:val="005A1503"/>
    <w:rsid w:val="005A154D"/>
    <w:rsid w:val="005A225A"/>
    <w:rsid w:val="005A7078"/>
    <w:rsid w:val="005B26A3"/>
    <w:rsid w:val="005C648D"/>
    <w:rsid w:val="005D1BF1"/>
    <w:rsid w:val="005D4F39"/>
    <w:rsid w:val="005D5407"/>
    <w:rsid w:val="005D550F"/>
    <w:rsid w:val="005D7B81"/>
    <w:rsid w:val="005E21F8"/>
    <w:rsid w:val="005E5976"/>
    <w:rsid w:val="005F439C"/>
    <w:rsid w:val="005F7BE6"/>
    <w:rsid w:val="00602CEF"/>
    <w:rsid w:val="006044EE"/>
    <w:rsid w:val="0060613F"/>
    <w:rsid w:val="00611606"/>
    <w:rsid w:val="006143D6"/>
    <w:rsid w:val="006148BB"/>
    <w:rsid w:val="006167B5"/>
    <w:rsid w:val="00621C5B"/>
    <w:rsid w:val="00622E36"/>
    <w:rsid w:val="00626D73"/>
    <w:rsid w:val="0062700C"/>
    <w:rsid w:val="006300C7"/>
    <w:rsid w:val="00631E0A"/>
    <w:rsid w:val="00632A79"/>
    <w:rsid w:val="00642ED1"/>
    <w:rsid w:val="006515CF"/>
    <w:rsid w:val="00651A0B"/>
    <w:rsid w:val="006530A0"/>
    <w:rsid w:val="00655126"/>
    <w:rsid w:val="00656282"/>
    <w:rsid w:val="00661D07"/>
    <w:rsid w:val="00666A8C"/>
    <w:rsid w:val="00666F02"/>
    <w:rsid w:val="006723F5"/>
    <w:rsid w:val="006726A3"/>
    <w:rsid w:val="00674083"/>
    <w:rsid w:val="00682444"/>
    <w:rsid w:val="00683F61"/>
    <w:rsid w:val="00684222"/>
    <w:rsid w:val="00685110"/>
    <w:rsid w:val="0069072A"/>
    <w:rsid w:val="0069103F"/>
    <w:rsid w:val="00692121"/>
    <w:rsid w:val="0069717D"/>
    <w:rsid w:val="006A3984"/>
    <w:rsid w:val="006A4D6F"/>
    <w:rsid w:val="006C0E63"/>
    <w:rsid w:val="006C265C"/>
    <w:rsid w:val="006C70CF"/>
    <w:rsid w:val="006C7F32"/>
    <w:rsid w:val="006D220E"/>
    <w:rsid w:val="006D3E6D"/>
    <w:rsid w:val="006D5CD6"/>
    <w:rsid w:val="006E0358"/>
    <w:rsid w:val="006E311B"/>
    <w:rsid w:val="006E4B9C"/>
    <w:rsid w:val="006F76BE"/>
    <w:rsid w:val="00703CF7"/>
    <w:rsid w:val="007054DB"/>
    <w:rsid w:val="00710844"/>
    <w:rsid w:val="007113A3"/>
    <w:rsid w:val="00711CFF"/>
    <w:rsid w:val="0071458C"/>
    <w:rsid w:val="00715C68"/>
    <w:rsid w:val="007249D7"/>
    <w:rsid w:val="0072721E"/>
    <w:rsid w:val="00731741"/>
    <w:rsid w:val="007330D9"/>
    <w:rsid w:val="0073689E"/>
    <w:rsid w:val="00742763"/>
    <w:rsid w:val="00746DD0"/>
    <w:rsid w:val="00747BDC"/>
    <w:rsid w:val="00747E69"/>
    <w:rsid w:val="0075433D"/>
    <w:rsid w:val="00755542"/>
    <w:rsid w:val="00756761"/>
    <w:rsid w:val="00762AB9"/>
    <w:rsid w:val="00762DBB"/>
    <w:rsid w:val="00763E1F"/>
    <w:rsid w:val="0076548E"/>
    <w:rsid w:val="007674E9"/>
    <w:rsid w:val="00767885"/>
    <w:rsid w:val="00770631"/>
    <w:rsid w:val="007717B9"/>
    <w:rsid w:val="00771AA7"/>
    <w:rsid w:val="00781F3E"/>
    <w:rsid w:val="00782DE3"/>
    <w:rsid w:val="007916FE"/>
    <w:rsid w:val="0079277F"/>
    <w:rsid w:val="00796528"/>
    <w:rsid w:val="00796FF4"/>
    <w:rsid w:val="007A134E"/>
    <w:rsid w:val="007A1C0F"/>
    <w:rsid w:val="007A2C1E"/>
    <w:rsid w:val="007A4F43"/>
    <w:rsid w:val="007A64C2"/>
    <w:rsid w:val="007A6AF8"/>
    <w:rsid w:val="007A7E7D"/>
    <w:rsid w:val="007B18E4"/>
    <w:rsid w:val="007B2AC5"/>
    <w:rsid w:val="007B3A99"/>
    <w:rsid w:val="007B4B99"/>
    <w:rsid w:val="007B4F71"/>
    <w:rsid w:val="007B7854"/>
    <w:rsid w:val="007C46CD"/>
    <w:rsid w:val="007C4F43"/>
    <w:rsid w:val="007C63E0"/>
    <w:rsid w:val="007D0D7B"/>
    <w:rsid w:val="007D1044"/>
    <w:rsid w:val="007D21C6"/>
    <w:rsid w:val="007D3981"/>
    <w:rsid w:val="007D4C94"/>
    <w:rsid w:val="007D503D"/>
    <w:rsid w:val="007D57F5"/>
    <w:rsid w:val="007D5EFB"/>
    <w:rsid w:val="007D620D"/>
    <w:rsid w:val="007E4153"/>
    <w:rsid w:val="007E4739"/>
    <w:rsid w:val="007E5704"/>
    <w:rsid w:val="007E5B24"/>
    <w:rsid w:val="007F16E5"/>
    <w:rsid w:val="007F178A"/>
    <w:rsid w:val="007F1F43"/>
    <w:rsid w:val="007F400A"/>
    <w:rsid w:val="007F63DB"/>
    <w:rsid w:val="007F7CF2"/>
    <w:rsid w:val="0080121E"/>
    <w:rsid w:val="00801288"/>
    <w:rsid w:val="00804E7F"/>
    <w:rsid w:val="00811F31"/>
    <w:rsid w:val="00813B8B"/>
    <w:rsid w:val="00816595"/>
    <w:rsid w:val="00817D30"/>
    <w:rsid w:val="0082280F"/>
    <w:rsid w:val="00825492"/>
    <w:rsid w:val="0082565A"/>
    <w:rsid w:val="0083442A"/>
    <w:rsid w:val="00835365"/>
    <w:rsid w:val="00836336"/>
    <w:rsid w:val="00840F44"/>
    <w:rsid w:val="00846B1A"/>
    <w:rsid w:val="008508F9"/>
    <w:rsid w:val="0085148C"/>
    <w:rsid w:val="008536B8"/>
    <w:rsid w:val="0086141E"/>
    <w:rsid w:val="00862F17"/>
    <w:rsid w:val="00867183"/>
    <w:rsid w:val="008672C4"/>
    <w:rsid w:val="008676ED"/>
    <w:rsid w:val="008718AC"/>
    <w:rsid w:val="0088690F"/>
    <w:rsid w:val="00890293"/>
    <w:rsid w:val="008930BB"/>
    <w:rsid w:val="008959B8"/>
    <w:rsid w:val="00896B23"/>
    <w:rsid w:val="008A1EC8"/>
    <w:rsid w:val="008A5210"/>
    <w:rsid w:val="008A694B"/>
    <w:rsid w:val="008A771D"/>
    <w:rsid w:val="008B1293"/>
    <w:rsid w:val="008B3CA6"/>
    <w:rsid w:val="008B4490"/>
    <w:rsid w:val="008B530A"/>
    <w:rsid w:val="008B6D6D"/>
    <w:rsid w:val="008B6E02"/>
    <w:rsid w:val="008C1286"/>
    <w:rsid w:val="008C2B46"/>
    <w:rsid w:val="008C6C06"/>
    <w:rsid w:val="008C79CA"/>
    <w:rsid w:val="008D01BE"/>
    <w:rsid w:val="008D31D4"/>
    <w:rsid w:val="008E5FB0"/>
    <w:rsid w:val="008E7224"/>
    <w:rsid w:val="008E77F7"/>
    <w:rsid w:val="008F36A2"/>
    <w:rsid w:val="008F36E6"/>
    <w:rsid w:val="008F5298"/>
    <w:rsid w:val="008F5741"/>
    <w:rsid w:val="008F7126"/>
    <w:rsid w:val="00900665"/>
    <w:rsid w:val="00900D03"/>
    <w:rsid w:val="0090215F"/>
    <w:rsid w:val="00905D85"/>
    <w:rsid w:val="00915D05"/>
    <w:rsid w:val="00916D39"/>
    <w:rsid w:val="00922F40"/>
    <w:rsid w:val="0092319B"/>
    <w:rsid w:val="00931017"/>
    <w:rsid w:val="0093167D"/>
    <w:rsid w:val="00937604"/>
    <w:rsid w:val="00937708"/>
    <w:rsid w:val="00940454"/>
    <w:rsid w:val="00940F9C"/>
    <w:rsid w:val="00944D3B"/>
    <w:rsid w:val="009478C5"/>
    <w:rsid w:val="00955820"/>
    <w:rsid w:val="00956079"/>
    <w:rsid w:val="00970F42"/>
    <w:rsid w:val="0097161D"/>
    <w:rsid w:val="00973537"/>
    <w:rsid w:val="0098307C"/>
    <w:rsid w:val="0098692B"/>
    <w:rsid w:val="00987465"/>
    <w:rsid w:val="00990FBC"/>
    <w:rsid w:val="00994030"/>
    <w:rsid w:val="009950CA"/>
    <w:rsid w:val="00995816"/>
    <w:rsid w:val="00997228"/>
    <w:rsid w:val="009A110B"/>
    <w:rsid w:val="009A1C6E"/>
    <w:rsid w:val="009A36EE"/>
    <w:rsid w:val="009A54E4"/>
    <w:rsid w:val="009B0171"/>
    <w:rsid w:val="009B468B"/>
    <w:rsid w:val="009C5274"/>
    <w:rsid w:val="009D032B"/>
    <w:rsid w:val="009D058D"/>
    <w:rsid w:val="009D0631"/>
    <w:rsid w:val="009D26FB"/>
    <w:rsid w:val="009D2DBD"/>
    <w:rsid w:val="009D3F50"/>
    <w:rsid w:val="009D502E"/>
    <w:rsid w:val="009D623A"/>
    <w:rsid w:val="009D7041"/>
    <w:rsid w:val="009F11CC"/>
    <w:rsid w:val="00A0043E"/>
    <w:rsid w:val="00A123CA"/>
    <w:rsid w:val="00A13DD3"/>
    <w:rsid w:val="00A164C3"/>
    <w:rsid w:val="00A16C29"/>
    <w:rsid w:val="00A17CA1"/>
    <w:rsid w:val="00A22733"/>
    <w:rsid w:val="00A22F0B"/>
    <w:rsid w:val="00A31467"/>
    <w:rsid w:val="00A348CA"/>
    <w:rsid w:val="00A35118"/>
    <w:rsid w:val="00A3734B"/>
    <w:rsid w:val="00A46FBA"/>
    <w:rsid w:val="00A53AFC"/>
    <w:rsid w:val="00A61A25"/>
    <w:rsid w:val="00A625C8"/>
    <w:rsid w:val="00A628BE"/>
    <w:rsid w:val="00A63AEE"/>
    <w:rsid w:val="00A666C7"/>
    <w:rsid w:val="00A67C84"/>
    <w:rsid w:val="00A7016F"/>
    <w:rsid w:val="00A76F64"/>
    <w:rsid w:val="00A777F9"/>
    <w:rsid w:val="00A82B14"/>
    <w:rsid w:val="00A83924"/>
    <w:rsid w:val="00A8485A"/>
    <w:rsid w:val="00A84F32"/>
    <w:rsid w:val="00A903C4"/>
    <w:rsid w:val="00A926FB"/>
    <w:rsid w:val="00A9373B"/>
    <w:rsid w:val="00A96E0B"/>
    <w:rsid w:val="00AA1538"/>
    <w:rsid w:val="00AA5F79"/>
    <w:rsid w:val="00AB64A0"/>
    <w:rsid w:val="00AC2B9E"/>
    <w:rsid w:val="00AC7B18"/>
    <w:rsid w:val="00AD280E"/>
    <w:rsid w:val="00AD3151"/>
    <w:rsid w:val="00AD5C4A"/>
    <w:rsid w:val="00AE03EA"/>
    <w:rsid w:val="00AE1D33"/>
    <w:rsid w:val="00AE7FDA"/>
    <w:rsid w:val="00AF1B8E"/>
    <w:rsid w:val="00AF4168"/>
    <w:rsid w:val="00AF7948"/>
    <w:rsid w:val="00B014E5"/>
    <w:rsid w:val="00B025C7"/>
    <w:rsid w:val="00B07310"/>
    <w:rsid w:val="00B157B5"/>
    <w:rsid w:val="00B16EFA"/>
    <w:rsid w:val="00B21A1F"/>
    <w:rsid w:val="00B226A1"/>
    <w:rsid w:val="00B24285"/>
    <w:rsid w:val="00B26A36"/>
    <w:rsid w:val="00B33147"/>
    <w:rsid w:val="00B340F5"/>
    <w:rsid w:val="00B41FAE"/>
    <w:rsid w:val="00B42325"/>
    <w:rsid w:val="00B4340A"/>
    <w:rsid w:val="00B44508"/>
    <w:rsid w:val="00B539B8"/>
    <w:rsid w:val="00B570B9"/>
    <w:rsid w:val="00B630F8"/>
    <w:rsid w:val="00B643DF"/>
    <w:rsid w:val="00B64ACC"/>
    <w:rsid w:val="00B65F3B"/>
    <w:rsid w:val="00B74A83"/>
    <w:rsid w:val="00B769D4"/>
    <w:rsid w:val="00B7713B"/>
    <w:rsid w:val="00B77C32"/>
    <w:rsid w:val="00B915FA"/>
    <w:rsid w:val="00B96E33"/>
    <w:rsid w:val="00BA1424"/>
    <w:rsid w:val="00BB2871"/>
    <w:rsid w:val="00BC4FE2"/>
    <w:rsid w:val="00BD0447"/>
    <w:rsid w:val="00BD15F1"/>
    <w:rsid w:val="00BD1AB0"/>
    <w:rsid w:val="00BD1D3B"/>
    <w:rsid w:val="00BD57FD"/>
    <w:rsid w:val="00BD5A54"/>
    <w:rsid w:val="00BE4BF2"/>
    <w:rsid w:val="00BE4DD4"/>
    <w:rsid w:val="00BE5C22"/>
    <w:rsid w:val="00BF13B1"/>
    <w:rsid w:val="00BF2E64"/>
    <w:rsid w:val="00BF32F7"/>
    <w:rsid w:val="00BF6CD0"/>
    <w:rsid w:val="00BF7151"/>
    <w:rsid w:val="00C00BB7"/>
    <w:rsid w:val="00C02163"/>
    <w:rsid w:val="00C072B1"/>
    <w:rsid w:val="00C07921"/>
    <w:rsid w:val="00C07AAC"/>
    <w:rsid w:val="00C109F4"/>
    <w:rsid w:val="00C12431"/>
    <w:rsid w:val="00C14443"/>
    <w:rsid w:val="00C266BF"/>
    <w:rsid w:val="00C32083"/>
    <w:rsid w:val="00C33F78"/>
    <w:rsid w:val="00C40370"/>
    <w:rsid w:val="00C46C3E"/>
    <w:rsid w:val="00C51E2E"/>
    <w:rsid w:val="00C557A0"/>
    <w:rsid w:val="00C6496D"/>
    <w:rsid w:val="00C65DA6"/>
    <w:rsid w:val="00C6787A"/>
    <w:rsid w:val="00C705CB"/>
    <w:rsid w:val="00C74DE7"/>
    <w:rsid w:val="00C75B2E"/>
    <w:rsid w:val="00C769C6"/>
    <w:rsid w:val="00C76BE6"/>
    <w:rsid w:val="00C77BF3"/>
    <w:rsid w:val="00C82341"/>
    <w:rsid w:val="00C856C2"/>
    <w:rsid w:val="00C85A9B"/>
    <w:rsid w:val="00C85DBE"/>
    <w:rsid w:val="00C874EB"/>
    <w:rsid w:val="00C90C7B"/>
    <w:rsid w:val="00C92FF8"/>
    <w:rsid w:val="00C94475"/>
    <w:rsid w:val="00C96ACF"/>
    <w:rsid w:val="00C9752D"/>
    <w:rsid w:val="00C97DFE"/>
    <w:rsid w:val="00CA5D2C"/>
    <w:rsid w:val="00CB0EA4"/>
    <w:rsid w:val="00CB243B"/>
    <w:rsid w:val="00CB71E1"/>
    <w:rsid w:val="00CC0470"/>
    <w:rsid w:val="00CC1B28"/>
    <w:rsid w:val="00CC1D06"/>
    <w:rsid w:val="00CC291F"/>
    <w:rsid w:val="00CC3155"/>
    <w:rsid w:val="00CD0985"/>
    <w:rsid w:val="00CD4020"/>
    <w:rsid w:val="00CE189B"/>
    <w:rsid w:val="00CF1402"/>
    <w:rsid w:val="00CF5821"/>
    <w:rsid w:val="00CF7413"/>
    <w:rsid w:val="00D0109B"/>
    <w:rsid w:val="00D064BA"/>
    <w:rsid w:val="00D129E0"/>
    <w:rsid w:val="00D12FBD"/>
    <w:rsid w:val="00D12FCF"/>
    <w:rsid w:val="00D145D5"/>
    <w:rsid w:val="00D1709A"/>
    <w:rsid w:val="00D2055F"/>
    <w:rsid w:val="00D2579E"/>
    <w:rsid w:val="00D30258"/>
    <w:rsid w:val="00D3045B"/>
    <w:rsid w:val="00D33558"/>
    <w:rsid w:val="00D35CA2"/>
    <w:rsid w:val="00D36E46"/>
    <w:rsid w:val="00D400AE"/>
    <w:rsid w:val="00D4166F"/>
    <w:rsid w:val="00D47A82"/>
    <w:rsid w:val="00D47E82"/>
    <w:rsid w:val="00D5174F"/>
    <w:rsid w:val="00D56EFF"/>
    <w:rsid w:val="00D60026"/>
    <w:rsid w:val="00D613AA"/>
    <w:rsid w:val="00D64149"/>
    <w:rsid w:val="00D645D1"/>
    <w:rsid w:val="00D659AD"/>
    <w:rsid w:val="00D7063A"/>
    <w:rsid w:val="00D71981"/>
    <w:rsid w:val="00D74C72"/>
    <w:rsid w:val="00D760EE"/>
    <w:rsid w:val="00D7666C"/>
    <w:rsid w:val="00D76F03"/>
    <w:rsid w:val="00D7720B"/>
    <w:rsid w:val="00D7747B"/>
    <w:rsid w:val="00D82486"/>
    <w:rsid w:val="00D862BD"/>
    <w:rsid w:val="00D93DF6"/>
    <w:rsid w:val="00D95A22"/>
    <w:rsid w:val="00DA0955"/>
    <w:rsid w:val="00DA235E"/>
    <w:rsid w:val="00DA2D18"/>
    <w:rsid w:val="00DA318B"/>
    <w:rsid w:val="00DB0BD4"/>
    <w:rsid w:val="00DB5CBF"/>
    <w:rsid w:val="00DB5E50"/>
    <w:rsid w:val="00DB622D"/>
    <w:rsid w:val="00DC019F"/>
    <w:rsid w:val="00DC1A39"/>
    <w:rsid w:val="00DC29CC"/>
    <w:rsid w:val="00DD35BD"/>
    <w:rsid w:val="00DD5662"/>
    <w:rsid w:val="00DD5D2D"/>
    <w:rsid w:val="00DE4191"/>
    <w:rsid w:val="00DE495B"/>
    <w:rsid w:val="00DE5C9F"/>
    <w:rsid w:val="00DF415E"/>
    <w:rsid w:val="00DF4FC4"/>
    <w:rsid w:val="00DF5AAE"/>
    <w:rsid w:val="00E10D9B"/>
    <w:rsid w:val="00E12314"/>
    <w:rsid w:val="00E13EC2"/>
    <w:rsid w:val="00E1603A"/>
    <w:rsid w:val="00E16738"/>
    <w:rsid w:val="00E17918"/>
    <w:rsid w:val="00E22EC3"/>
    <w:rsid w:val="00E2367B"/>
    <w:rsid w:val="00E24973"/>
    <w:rsid w:val="00E27F43"/>
    <w:rsid w:val="00E315BC"/>
    <w:rsid w:val="00E337BC"/>
    <w:rsid w:val="00E337FE"/>
    <w:rsid w:val="00E34065"/>
    <w:rsid w:val="00E34B9F"/>
    <w:rsid w:val="00E35A30"/>
    <w:rsid w:val="00E36BFE"/>
    <w:rsid w:val="00E406D9"/>
    <w:rsid w:val="00E44C30"/>
    <w:rsid w:val="00E45726"/>
    <w:rsid w:val="00E51C25"/>
    <w:rsid w:val="00E53105"/>
    <w:rsid w:val="00E54583"/>
    <w:rsid w:val="00E56AC8"/>
    <w:rsid w:val="00E57F7C"/>
    <w:rsid w:val="00E646D4"/>
    <w:rsid w:val="00E71E3D"/>
    <w:rsid w:val="00E7404C"/>
    <w:rsid w:val="00E77C11"/>
    <w:rsid w:val="00E8069B"/>
    <w:rsid w:val="00E8071D"/>
    <w:rsid w:val="00E82951"/>
    <w:rsid w:val="00E84EC5"/>
    <w:rsid w:val="00E85149"/>
    <w:rsid w:val="00E903D4"/>
    <w:rsid w:val="00E967B8"/>
    <w:rsid w:val="00EA1D7A"/>
    <w:rsid w:val="00EA3982"/>
    <w:rsid w:val="00EA4C92"/>
    <w:rsid w:val="00EB5C2C"/>
    <w:rsid w:val="00EB6F4B"/>
    <w:rsid w:val="00EC0A7F"/>
    <w:rsid w:val="00EC6988"/>
    <w:rsid w:val="00ED303D"/>
    <w:rsid w:val="00ED578F"/>
    <w:rsid w:val="00EE0BAF"/>
    <w:rsid w:val="00EE4009"/>
    <w:rsid w:val="00EE4FB1"/>
    <w:rsid w:val="00EE5892"/>
    <w:rsid w:val="00EE5A0A"/>
    <w:rsid w:val="00EF277E"/>
    <w:rsid w:val="00EF6533"/>
    <w:rsid w:val="00EF7C35"/>
    <w:rsid w:val="00F00BC4"/>
    <w:rsid w:val="00F067B3"/>
    <w:rsid w:val="00F07999"/>
    <w:rsid w:val="00F13BD0"/>
    <w:rsid w:val="00F15702"/>
    <w:rsid w:val="00F2280D"/>
    <w:rsid w:val="00F2417F"/>
    <w:rsid w:val="00F24392"/>
    <w:rsid w:val="00F24E97"/>
    <w:rsid w:val="00F2622D"/>
    <w:rsid w:val="00F27B47"/>
    <w:rsid w:val="00F30CA1"/>
    <w:rsid w:val="00F30D90"/>
    <w:rsid w:val="00F31BF1"/>
    <w:rsid w:val="00F326DF"/>
    <w:rsid w:val="00F3518B"/>
    <w:rsid w:val="00F356AC"/>
    <w:rsid w:val="00F37243"/>
    <w:rsid w:val="00F4042A"/>
    <w:rsid w:val="00F42381"/>
    <w:rsid w:val="00F4476B"/>
    <w:rsid w:val="00F46B97"/>
    <w:rsid w:val="00F50867"/>
    <w:rsid w:val="00F508BC"/>
    <w:rsid w:val="00F529D5"/>
    <w:rsid w:val="00F52FA8"/>
    <w:rsid w:val="00F534E6"/>
    <w:rsid w:val="00F550D7"/>
    <w:rsid w:val="00F554AA"/>
    <w:rsid w:val="00F6022C"/>
    <w:rsid w:val="00F63850"/>
    <w:rsid w:val="00F65759"/>
    <w:rsid w:val="00F8401D"/>
    <w:rsid w:val="00F848DB"/>
    <w:rsid w:val="00F84CDE"/>
    <w:rsid w:val="00F86306"/>
    <w:rsid w:val="00F87574"/>
    <w:rsid w:val="00F93D47"/>
    <w:rsid w:val="00F97B4E"/>
    <w:rsid w:val="00FA4F0B"/>
    <w:rsid w:val="00FA72EE"/>
    <w:rsid w:val="00FB1115"/>
    <w:rsid w:val="00FB3DF3"/>
    <w:rsid w:val="00FB6CAD"/>
    <w:rsid w:val="00FC12B9"/>
    <w:rsid w:val="00FC1ACE"/>
    <w:rsid w:val="00FD1EBD"/>
    <w:rsid w:val="00FD3342"/>
    <w:rsid w:val="00FD36AC"/>
    <w:rsid w:val="00FD7DB4"/>
    <w:rsid w:val="00FE43D3"/>
    <w:rsid w:val="00FF784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3F"/>
    <w:pPr>
      <w:spacing w:after="200" w:line="276" w:lineRule="auto"/>
    </w:pPr>
    <w:rPr>
      <w:sz w:val="22"/>
      <w:szCs w:val="22"/>
    </w:rPr>
  </w:style>
  <w:style w:type="paragraph" w:styleId="Heading2">
    <w:name w:val="heading 2"/>
    <w:basedOn w:val="Normal"/>
    <w:next w:val="Normal"/>
    <w:link w:val="Heading2Char"/>
    <w:uiPriority w:val="9"/>
    <w:unhideWhenUsed/>
    <w:qFormat/>
    <w:locked/>
    <w:rsid w:val="00364D3F"/>
    <w:pPr>
      <w:keepNext/>
      <w:keepLines/>
      <w:spacing w:before="200" w:after="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5A22"/>
    <w:rPr>
      <w:rFonts w:cs="Times New Roman"/>
      <w:color w:val="0000FF"/>
      <w:u w:val="single"/>
    </w:rPr>
  </w:style>
  <w:style w:type="table" w:styleId="TableGrid">
    <w:name w:val="Table Grid"/>
    <w:basedOn w:val="TableNormal"/>
    <w:uiPriority w:val="59"/>
    <w:rsid w:val="00E71E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2">
    <w:name w:val="a2"/>
    <w:basedOn w:val="Normal"/>
    <w:link w:val="a2Char"/>
    <w:autoRedefine/>
    <w:uiPriority w:val="99"/>
    <w:rsid w:val="00BE4BF2"/>
    <w:pPr>
      <w:spacing w:before="120" w:after="120" w:line="360" w:lineRule="auto"/>
      <w:ind w:firstLine="851"/>
      <w:jc w:val="both"/>
    </w:pPr>
    <w:rPr>
      <w:b/>
      <w:i/>
      <w:color w:val="231F20"/>
      <w:sz w:val="24"/>
      <w:szCs w:val="20"/>
    </w:rPr>
  </w:style>
  <w:style w:type="character" w:customStyle="1" w:styleId="a2Char">
    <w:name w:val="a2 Char"/>
    <w:link w:val="a2"/>
    <w:uiPriority w:val="99"/>
    <w:locked/>
    <w:rsid w:val="00BE4BF2"/>
    <w:rPr>
      <w:rFonts w:ascii="Calibri" w:hAnsi="Calibri"/>
      <w:b/>
      <w:i/>
      <w:color w:val="231F20"/>
      <w:sz w:val="24"/>
    </w:rPr>
  </w:style>
  <w:style w:type="paragraph" w:styleId="ListParagraph">
    <w:name w:val="List Paragraph"/>
    <w:basedOn w:val="Normal"/>
    <w:uiPriority w:val="34"/>
    <w:qFormat/>
    <w:rsid w:val="00282971"/>
    <w:pPr>
      <w:spacing w:after="0" w:line="240" w:lineRule="auto"/>
      <w:ind w:left="720"/>
      <w:contextualSpacing/>
    </w:pPr>
    <w:rPr>
      <w:rFonts w:ascii="Times New Roman" w:hAnsi="Times New Roman"/>
      <w:sz w:val="28"/>
      <w:szCs w:val="28"/>
    </w:rPr>
  </w:style>
  <w:style w:type="paragraph" w:styleId="BalloonText">
    <w:name w:val="Balloon Text"/>
    <w:basedOn w:val="Normal"/>
    <w:link w:val="BalloonTextChar"/>
    <w:uiPriority w:val="99"/>
    <w:semiHidden/>
    <w:rsid w:val="00867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7183"/>
    <w:rPr>
      <w:rFonts w:ascii="Tahoma" w:hAnsi="Tahoma" w:cs="Tahoma"/>
      <w:sz w:val="16"/>
      <w:szCs w:val="16"/>
    </w:rPr>
  </w:style>
  <w:style w:type="paragraph" w:customStyle="1" w:styleId="nidungTLTK-Ctrl4">
    <w:name w:val="nội dung TLTK-Ctrl+4"/>
    <w:basedOn w:val="Normal"/>
    <w:next w:val="Normal"/>
    <w:autoRedefine/>
    <w:uiPriority w:val="99"/>
    <w:semiHidden/>
    <w:rsid w:val="0024044B"/>
    <w:pPr>
      <w:numPr>
        <w:numId w:val="14"/>
      </w:numPr>
      <w:spacing w:before="240" w:after="240" w:line="240" w:lineRule="auto"/>
      <w:jc w:val="center"/>
    </w:pPr>
    <w:rPr>
      <w:rFonts w:ascii="Times New Roman" w:hAnsi="Times New Roman"/>
      <w:sz w:val="19"/>
      <w:szCs w:val="19"/>
    </w:rPr>
  </w:style>
  <w:style w:type="paragraph" w:customStyle="1" w:styleId="Style11">
    <w:name w:val="Style11"/>
    <w:basedOn w:val="Normal"/>
    <w:uiPriority w:val="99"/>
    <w:rsid w:val="0024044B"/>
    <w:pPr>
      <w:tabs>
        <w:tab w:val="num" w:pos="-1203"/>
      </w:tabs>
      <w:spacing w:before="40" w:after="0" w:line="240" w:lineRule="auto"/>
      <w:ind w:left="227" w:firstLine="57"/>
      <w:jc w:val="both"/>
    </w:pPr>
    <w:rPr>
      <w:rFonts w:ascii="Times New Roman" w:hAnsi="Times New Roman"/>
      <w:noProof/>
      <w:color w:val="000000"/>
      <w:sz w:val="19"/>
      <w:szCs w:val="19"/>
      <w:lang w:val="vi-VN"/>
    </w:rPr>
  </w:style>
  <w:style w:type="paragraph" w:styleId="Header">
    <w:name w:val="header"/>
    <w:basedOn w:val="Normal"/>
    <w:link w:val="HeaderChar"/>
    <w:uiPriority w:val="99"/>
    <w:semiHidden/>
    <w:rsid w:val="00CF1402"/>
    <w:pPr>
      <w:tabs>
        <w:tab w:val="center" w:pos="4680"/>
        <w:tab w:val="right" w:pos="9360"/>
      </w:tabs>
    </w:pPr>
  </w:style>
  <w:style w:type="character" w:customStyle="1" w:styleId="HeaderChar">
    <w:name w:val="Header Char"/>
    <w:basedOn w:val="DefaultParagraphFont"/>
    <w:link w:val="Header"/>
    <w:uiPriority w:val="99"/>
    <w:semiHidden/>
    <w:locked/>
    <w:rsid w:val="00CF1402"/>
    <w:rPr>
      <w:rFonts w:cs="Times New Roman"/>
      <w:sz w:val="22"/>
      <w:szCs w:val="22"/>
    </w:rPr>
  </w:style>
  <w:style w:type="paragraph" w:styleId="Footer">
    <w:name w:val="footer"/>
    <w:basedOn w:val="Normal"/>
    <w:link w:val="FooterChar"/>
    <w:uiPriority w:val="99"/>
    <w:rsid w:val="00CF1402"/>
    <w:pPr>
      <w:tabs>
        <w:tab w:val="center" w:pos="4680"/>
        <w:tab w:val="right" w:pos="9360"/>
      </w:tabs>
    </w:pPr>
  </w:style>
  <w:style w:type="character" w:customStyle="1" w:styleId="FooterChar">
    <w:name w:val="Footer Char"/>
    <w:basedOn w:val="DefaultParagraphFont"/>
    <w:link w:val="Footer"/>
    <w:uiPriority w:val="99"/>
    <w:locked/>
    <w:rsid w:val="00CF1402"/>
    <w:rPr>
      <w:rFonts w:cs="Times New Roman"/>
      <w:sz w:val="22"/>
      <w:szCs w:val="22"/>
    </w:rPr>
  </w:style>
  <w:style w:type="character" w:customStyle="1" w:styleId="Heading2Char">
    <w:name w:val="Heading 2 Char"/>
    <w:basedOn w:val="DefaultParagraphFont"/>
    <w:link w:val="Heading2"/>
    <w:uiPriority w:val="9"/>
    <w:rsid w:val="00364D3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locked/>
    <w:rsid w:val="00364D3F"/>
    <w:pPr>
      <w:spacing w:line="240" w:lineRule="auto"/>
      <w:jc w:val="both"/>
    </w:pPr>
    <w:rPr>
      <w:rFonts w:ascii="Times New Roman" w:eastAsiaTheme="minorHAnsi" w:hAnsi="Times New Roman" w:cstheme="minorBidi"/>
      <w:b/>
      <w:bCs/>
      <w:color w:val="4F81BD" w:themeColor="accent1"/>
      <w:sz w:val="18"/>
      <w:szCs w:val="18"/>
    </w:rPr>
  </w:style>
  <w:style w:type="character" w:styleId="CommentReference">
    <w:name w:val="annotation reference"/>
    <w:basedOn w:val="DefaultParagraphFont"/>
    <w:uiPriority w:val="99"/>
    <w:semiHidden/>
    <w:unhideWhenUsed/>
    <w:rsid w:val="00540818"/>
    <w:rPr>
      <w:sz w:val="16"/>
      <w:szCs w:val="16"/>
    </w:rPr>
  </w:style>
  <w:style w:type="paragraph" w:styleId="CommentText">
    <w:name w:val="annotation text"/>
    <w:basedOn w:val="Normal"/>
    <w:link w:val="CommentTextChar"/>
    <w:uiPriority w:val="99"/>
    <w:semiHidden/>
    <w:unhideWhenUsed/>
    <w:rsid w:val="00540818"/>
    <w:pPr>
      <w:spacing w:line="240" w:lineRule="auto"/>
    </w:pPr>
    <w:rPr>
      <w:sz w:val="20"/>
      <w:szCs w:val="20"/>
    </w:rPr>
  </w:style>
  <w:style w:type="character" w:customStyle="1" w:styleId="CommentTextChar">
    <w:name w:val="Comment Text Char"/>
    <w:basedOn w:val="DefaultParagraphFont"/>
    <w:link w:val="CommentText"/>
    <w:uiPriority w:val="99"/>
    <w:semiHidden/>
    <w:rsid w:val="00540818"/>
  </w:style>
  <w:style w:type="paragraph" w:styleId="CommentSubject">
    <w:name w:val="annotation subject"/>
    <w:basedOn w:val="CommentText"/>
    <w:next w:val="CommentText"/>
    <w:link w:val="CommentSubjectChar"/>
    <w:uiPriority w:val="99"/>
    <w:semiHidden/>
    <w:unhideWhenUsed/>
    <w:rsid w:val="00540818"/>
    <w:rPr>
      <w:b/>
      <w:bCs/>
    </w:rPr>
  </w:style>
  <w:style w:type="character" w:customStyle="1" w:styleId="CommentSubjectChar">
    <w:name w:val="Comment Subject Char"/>
    <w:basedOn w:val="CommentTextChar"/>
    <w:link w:val="CommentSubject"/>
    <w:uiPriority w:val="99"/>
    <w:semiHidden/>
    <w:rsid w:val="00540818"/>
    <w:rPr>
      <w:b/>
      <w:bCs/>
    </w:rPr>
  </w:style>
  <w:style w:type="paragraph" w:styleId="FootnoteText">
    <w:name w:val="footnote text"/>
    <w:basedOn w:val="Normal"/>
    <w:link w:val="FootnoteTextChar"/>
    <w:uiPriority w:val="99"/>
    <w:semiHidden/>
    <w:unhideWhenUsed/>
    <w:rsid w:val="00666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A8C"/>
  </w:style>
  <w:style w:type="character" w:styleId="FootnoteReference">
    <w:name w:val="footnote reference"/>
    <w:basedOn w:val="DefaultParagraphFont"/>
    <w:uiPriority w:val="99"/>
    <w:semiHidden/>
    <w:unhideWhenUsed/>
    <w:rsid w:val="00666A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90487">
      <w:marLeft w:val="0"/>
      <w:marRight w:val="0"/>
      <w:marTop w:val="0"/>
      <w:marBottom w:val="0"/>
      <w:divBdr>
        <w:top w:val="none" w:sz="0" w:space="0" w:color="auto"/>
        <w:left w:val="none" w:sz="0" w:space="0" w:color="auto"/>
        <w:bottom w:val="none" w:sz="0" w:space="0" w:color="auto"/>
        <w:right w:val="none" w:sz="0" w:space="0" w:color="auto"/>
      </w:divBdr>
    </w:div>
    <w:div w:id="1902590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NGUYEN%20VIET%20HA\2016\May%2010-10\2016%2004%2001%2029-12-2015%20KET%20QUA%20XU%20LY%20NUOC%20THAI%20%2010-10_H&#224;%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NGUYEN%20VIET%20HA\2016\May%2010-10\2016%2004%2001%2029-12-2015%20KET%20QUA%20XU%20LY%20NUOC%20THAI%20%2010-10_H&#224;%2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NGUYEN%20VIET%20HA\2016\May%2010-10\2016%2004%2001%2029-12-2015%20KET%20QUA%20XU%20LY%20NUOC%20THAI%20%2010-10_H&#224;%2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NGUYEN%20VIET%20HA\2016\May%2010-10\2016%2004%2001%2029-12-2015%20KET%20QUA%20XU%20LY%20NUOC%20THAI%20%2010-10_H&#224;%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Thể tích bùn lắng 60 phút</a:t>
            </a:r>
          </a:p>
        </c:rich>
      </c:tx>
      <c:overlay val="0"/>
    </c:title>
    <c:autoTitleDeleted val="0"/>
    <c:plotArea>
      <c:layout>
        <c:manualLayout>
          <c:layoutTarget val="inner"/>
          <c:xMode val="edge"/>
          <c:yMode val="edge"/>
          <c:x val="0.14647649442711036"/>
          <c:y val="0.1423070277502132"/>
          <c:w val="0.80926958353862699"/>
          <c:h val="0.66963237292313604"/>
        </c:manualLayout>
      </c:layout>
      <c:lineChart>
        <c:grouping val="standard"/>
        <c:varyColors val="0"/>
        <c:ser>
          <c:idx val="0"/>
          <c:order val="0"/>
          <c:tx>
            <c:strRef>
              <c:f>'Ko THT'!$C$1</c:f>
              <c:strCache>
                <c:ptCount val="1"/>
                <c:pt idx="0">
                  <c:v>V bùn 60p
mL/L</c:v>
                </c:pt>
              </c:strCache>
            </c:strRef>
          </c:tx>
          <c:spPr>
            <a:ln w="22225">
              <a:solidFill>
                <a:srgbClr val="FF0066"/>
              </a:solidFill>
            </a:ln>
          </c:spPr>
          <c:marker>
            <c:symbol val="triangle"/>
            <c:size val="3"/>
            <c:spPr>
              <a:solidFill>
                <a:srgbClr val="FF0066"/>
              </a:solidFill>
              <a:ln>
                <a:solidFill>
                  <a:srgbClr val="FF0066"/>
                </a:solidFill>
              </a:ln>
            </c:spPr>
          </c:marker>
          <c:cat>
            <c:numRef>
              <c:f>'Ko THT'!$B$2:$B$22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cat>
          <c:val>
            <c:numRef>
              <c:f>'Ko THT'!$C$2:$C$22</c:f>
              <c:numCache>
                <c:formatCode>General</c:formatCode>
                <c:ptCount val="21"/>
                <c:pt idx="0">
                  <c:v>100</c:v>
                </c:pt>
                <c:pt idx="1">
                  <c:v>120</c:v>
                </c:pt>
                <c:pt idx="2">
                  <c:v>120</c:v>
                </c:pt>
                <c:pt idx="3">
                  <c:v>120</c:v>
                </c:pt>
                <c:pt idx="4">
                  <c:v>90</c:v>
                </c:pt>
                <c:pt idx="5">
                  <c:v>90</c:v>
                </c:pt>
                <c:pt idx="6">
                  <c:v>85</c:v>
                </c:pt>
                <c:pt idx="7">
                  <c:v>80</c:v>
                </c:pt>
                <c:pt idx="8">
                  <c:v>100</c:v>
                </c:pt>
                <c:pt idx="9">
                  <c:v>100</c:v>
                </c:pt>
                <c:pt idx="10">
                  <c:v>95</c:v>
                </c:pt>
                <c:pt idx="11">
                  <c:v>100</c:v>
                </c:pt>
                <c:pt idx="12">
                  <c:v>90</c:v>
                </c:pt>
                <c:pt idx="13">
                  <c:v>85</c:v>
                </c:pt>
                <c:pt idx="14">
                  <c:v>85</c:v>
                </c:pt>
                <c:pt idx="15">
                  <c:v>85</c:v>
                </c:pt>
                <c:pt idx="16">
                  <c:v>85</c:v>
                </c:pt>
                <c:pt idx="17">
                  <c:v>80</c:v>
                </c:pt>
                <c:pt idx="18">
                  <c:v>80</c:v>
                </c:pt>
                <c:pt idx="19">
                  <c:v>75</c:v>
                </c:pt>
                <c:pt idx="20">
                  <c:v>75</c:v>
                </c:pt>
              </c:numCache>
            </c:numRef>
          </c:val>
          <c:smooth val="0"/>
          <c:extLst xmlns:c16r2="http://schemas.microsoft.com/office/drawing/2015/06/chart">
            <c:ext xmlns:c16="http://schemas.microsoft.com/office/drawing/2014/chart" uri="{C3380CC4-5D6E-409C-BE32-E72D297353CC}">
              <c16:uniqueId val="{00000000-8974-486C-9B95-9AE0AC8CF6B9}"/>
            </c:ext>
          </c:extLst>
        </c:ser>
        <c:dLbls>
          <c:showLegendKey val="0"/>
          <c:showVal val="0"/>
          <c:showCatName val="0"/>
          <c:showSerName val="0"/>
          <c:showPercent val="0"/>
          <c:showBubbleSize val="0"/>
        </c:dLbls>
        <c:marker val="1"/>
        <c:smooth val="0"/>
        <c:axId val="65525248"/>
        <c:axId val="65527808"/>
      </c:lineChart>
      <c:catAx>
        <c:axId val="65525248"/>
        <c:scaling>
          <c:orientation val="minMax"/>
        </c:scaling>
        <c:delete val="0"/>
        <c:axPos val="b"/>
        <c:title>
          <c:tx>
            <c:rich>
              <a:bodyPr/>
              <a:lstStyle/>
              <a:p>
                <a:pPr>
                  <a:defRPr/>
                </a:pPr>
                <a:r>
                  <a:rPr lang="en-US"/>
                  <a:t>Số mẻ</a:t>
                </a:r>
              </a:p>
            </c:rich>
          </c:tx>
          <c:layout>
            <c:manualLayout>
              <c:xMode val="edge"/>
              <c:yMode val="edge"/>
              <c:x val="0.51293092076279756"/>
              <c:y val="0.95017373605435274"/>
            </c:manualLayout>
          </c:layout>
          <c:overlay val="0"/>
        </c:title>
        <c:numFmt formatCode="General" sourceLinked="1"/>
        <c:majorTickMark val="out"/>
        <c:minorTickMark val="none"/>
        <c:tickLblPos val="nextTo"/>
        <c:spPr>
          <a:ln>
            <a:solidFill>
              <a:sysClr val="windowText" lastClr="000000"/>
            </a:solidFill>
          </a:ln>
        </c:spPr>
        <c:crossAx val="65527808"/>
        <c:crosses val="autoZero"/>
        <c:auto val="1"/>
        <c:lblAlgn val="ctr"/>
        <c:lblOffset val="100"/>
        <c:noMultiLvlLbl val="0"/>
      </c:catAx>
      <c:valAx>
        <c:axId val="65527808"/>
        <c:scaling>
          <c:orientation val="minMax"/>
          <c:max val="250"/>
        </c:scaling>
        <c:delete val="0"/>
        <c:axPos val="l"/>
        <c:title>
          <c:tx>
            <c:rich>
              <a:bodyPr rot="-5400000" vert="horz"/>
              <a:lstStyle/>
              <a:p>
                <a:pPr>
                  <a:defRPr/>
                </a:pPr>
                <a:r>
                  <a:rPr lang="en-US"/>
                  <a:t>Thể tích bùn lắng 60 phút</a:t>
                </a:r>
              </a:p>
            </c:rich>
          </c:tx>
          <c:layout>
            <c:manualLayout>
              <c:xMode val="edge"/>
              <c:yMode val="edge"/>
              <c:x val="0"/>
              <c:y val="0.12889067249780384"/>
            </c:manualLayout>
          </c:layout>
          <c:overlay val="0"/>
        </c:title>
        <c:numFmt formatCode="General" sourceLinked="1"/>
        <c:majorTickMark val="out"/>
        <c:minorTickMark val="none"/>
        <c:tickLblPos val="nextTo"/>
        <c:spPr>
          <a:ln>
            <a:solidFill>
              <a:schemeClr val="tx1"/>
            </a:solidFill>
          </a:ln>
        </c:spPr>
        <c:crossAx val="65525248"/>
        <c:crosses val="autoZero"/>
        <c:crossBetween val="midCat"/>
        <c:majorUnit val="50"/>
      </c:valAx>
    </c:plotArea>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Thể tích bùn lắng 60 phút</a:t>
            </a:r>
          </a:p>
        </c:rich>
      </c:tx>
      <c:overlay val="0"/>
    </c:title>
    <c:autoTitleDeleted val="0"/>
    <c:plotArea>
      <c:layout>
        <c:manualLayout>
          <c:layoutTarget val="inner"/>
          <c:xMode val="edge"/>
          <c:yMode val="edge"/>
          <c:x val="0.16601365311068569"/>
          <c:y val="0.15493172257577509"/>
          <c:w val="0.77928103110743763"/>
          <c:h val="0.65284075943420394"/>
        </c:manualLayout>
      </c:layout>
      <c:lineChart>
        <c:grouping val="standard"/>
        <c:varyColors val="0"/>
        <c:ser>
          <c:idx val="0"/>
          <c:order val="0"/>
          <c:tx>
            <c:strRef>
              <c:f>THT!$D$1</c:f>
              <c:strCache>
                <c:ptCount val="1"/>
                <c:pt idx="0">
                  <c:v>V bùn 60p
mL/L</c:v>
                </c:pt>
              </c:strCache>
            </c:strRef>
          </c:tx>
          <c:spPr>
            <a:ln w="22225">
              <a:solidFill>
                <a:srgbClr val="0000CC"/>
              </a:solidFill>
            </a:ln>
          </c:spPr>
          <c:marker>
            <c:symbol val="circle"/>
            <c:size val="3"/>
            <c:spPr>
              <a:solidFill>
                <a:srgbClr val="0000CC"/>
              </a:solidFill>
              <a:ln>
                <a:solidFill>
                  <a:srgbClr val="0000CC"/>
                </a:solidFill>
              </a:ln>
            </c:spPr>
          </c:marker>
          <c:cat>
            <c:numRef>
              <c:f>THT!$C$2:$C$22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cat>
          <c:val>
            <c:numRef>
              <c:f>THT!$D$2:$D$22</c:f>
              <c:numCache>
                <c:formatCode>General</c:formatCode>
                <c:ptCount val="21"/>
                <c:pt idx="0">
                  <c:v>100</c:v>
                </c:pt>
                <c:pt idx="1">
                  <c:v>110</c:v>
                </c:pt>
                <c:pt idx="2">
                  <c:v>115</c:v>
                </c:pt>
                <c:pt idx="3">
                  <c:v>115</c:v>
                </c:pt>
                <c:pt idx="4">
                  <c:v>125</c:v>
                </c:pt>
                <c:pt idx="5">
                  <c:v>135</c:v>
                </c:pt>
                <c:pt idx="6">
                  <c:v>140</c:v>
                </c:pt>
                <c:pt idx="7">
                  <c:v>150</c:v>
                </c:pt>
                <c:pt idx="8">
                  <c:v>170</c:v>
                </c:pt>
                <c:pt idx="9">
                  <c:v>180</c:v>
                </c:pt>
                <c:pt idx="10">
                  <c:v>185</c:v>
                </c:pt>
                <c:pt idx="11">
                  <c:v>190</c:v>
                </c:pt>
                <c:pt idx="12">
                  <c:v>190</c:v>
                </c:pt>
                <c:pt idx="13">
                  <c:v>190</c:v>
                </c:pt>
                <c:pt idx="14">
                  <c:v>190</c:v>
                </c:pt>
                <c:pt idx="15">
                  <c:v>190</c:v>
                </c:pt>
                <c:pt idx="16">
                  <c:v>195</c:v>
                </c:pt>
                <c:pt idx="17">
                  <c:v>195</c:v>
                </c:pt>
                <c:pt idx="18">
                  <c:v>198</c:v>
                </c:pt>
                <c:pt idx="19">
                  <c:v>200</c:v>
                </c:pt>
                <c:pt idx="20">
                  <c:v>210</c:v>
                </c:pt>
              </c:numCache>
            </c:numRef>
          </c:val>
          <c:smooth val="0"/>
          <c:extLst xmlns:c16r2="http://schemas.microsoft.com/office/drawing/2015/06/chart">
            <c:ext xmlns:c16="http://schemas.microsoft.com/office/drawing/2014/chart" uri="{C3380CC4-5D6E-409C-BE32-E72D297353CC}">
              <c16:uniqueId val="{00000000-8506-4DF5-83B0-F834CFC84B50}"/>
            </c:ext>
          </c:extLst>
        </c:ser>
        <c:dLbls>
          <c:showLegendKey val="0"/>
          <c:showVal val="0"/>
          <c:showCatName val="0"/>
          <c:showSerName val="0"/>
          <c:showPercent val="0"/>
          <c:showBubbleSize val="0"/>
        </c:dLbls>
        <c:marker val="1"/>
        <c:smooth val="0"/>
        <c:axId val="65683840"/>
        <c:axId val="65686144"/>
      </c:lineChart>
      <c:catAx>
        <c:axId val="65683840"/>
        <c:scaling>
          <c:orientation val="minMax"/>
        </c:scaling>
        <c:delete val="0"/>
        <c:axPos val="b"/>
        <c:title>
          <c:tx>
            <c:rich>
              <a:bodyPr/>
              <a:lstStyle/>
              <a:p>
                <a:pPr>
                  <a:defRPr/>
                </a:pPr>
                <a:r>
                  <a:rPr lang="en-US"/>
                  <a:t>Sổ mẻ</a:t>
                </a:r>
              </a:p>
            </c:rich>
          </c:tx>
          <c:layout>
            <c:manualLayout>
              <c:xMode val="edge"/>
              <c:yMode val="edge"/>
              <c:x val="0.51598484004698852"/>
              <c:y val="0.94575342465753465"/>
            </c:manualLayout>
          </c:layout>
          <c:overlay val="0"/>
        </c:title>
        <c:numFmt formatCode="General" sourceLinked="1"/>
        <c:majorTickMark val="out"/>
        <c:minorTickMark val="none"/>
        <c:tickLblPos val="nextTo"/>
        <c:spPr>
          <a:ln>
            <a:solidFill>
              <a:sysClr val="windowText" lastClr="000000"/>
            </a:solidFill>
          </a:ln>
        </c:spPr>
        <c:crossAx val="65686144"/>
        <c:crosses val="autoZero"/>
        <c:auto val="1"/>
        <c:lblAlgn val="ctr"/>
        <c:lblOffset val="100"/>
        <c:noMultiLvlLbl val="0"/>
      </c:catAx>
      <c:valAx>
        <c:axId val="65686144"/>
        <c:scaling>
          <c:orientation val="minMax"/>
        </c:scaling>
        <c:delete val="0"/>
        <c:axPos val="l"/>
        <c:title>
          <c:tx>
            <c:rich>
              <a:bodyPr rot="-5400000" vert="horz"/>
              <a:lstStyle/>
              <a:p>
                <a:pPr>
                  <a:defRPr/>
                </a:pPr>
                <a:r>
                  <a:rPr lang="en-US"/>
                  <a:t>Thể tích bùn lắng 60 phút</a:t>
                </a:r>
              </a:p>
            </c:rich>
          </c:tx>
          <c:layout>
            <c:manualLayout>
              <c:xMode val="edge"/>
              <c:yMode val="edge"/>
              <c:x val="8.8221647699284235E-3"/>
              <c:y val="0.14540955944157594"/>
            </c:manualLayout>
          </c:layout>
          <c:overlay val="0"/>
        </c:title>
        <c:numFmt formatCode="General" sourceLinked="1"/>
        <c:majorTickMark val="out"/>
        <c:minorTickMark val="none"/>
        <c:tickLblPos val="nextTo"/>
        <c:spPr>
          <a:ln>
            <a:solidFill>
              <a:sysClr val="windowText" lastClr="000000"/>
            </a:solidFill>
          </a:ln>
        </c:spPr>
        <c:crossAx val="65683840"/>
        <c:crosses val="autoZero"/>
        <c:crossBetween val="midCat"/>
      </c:valAx>
    </c:plotArea>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08069285240729"/>
          <c:y val="0.20103598714729651"/>
          <c:w val="0.79848387975049451"/>
          <c:h val="0.59194482642974566"/>
        </c:manualLayout>
      </c:layout>
      <c:lineChart>
        <c:grouping val="standard"/>
        <c:varyColors val="0"/>
        <c:ser>
          <c:idx val="0"/>
          <c:order val="0"/>
          <c:tx>
            <c:strRef>
              <c:f>'Ko THT'!$C$74</c:f>
              <c:strCache>
                <c:ptCount val="1"/>
                <c:pt idx="0">
                  <c:v>COD, mg/L</c:v>
                </c:pt>
              </c:strCache>
            </c:strRef>
          </c:tx>
          <c:spPr>
            <a:ln w="15875">
              <a:solidFill>
                <a:srgbClr val="FF0066"/>
              </a:solidFill>
            </a:ln>
          </c:spPr>
          <c:marker>
            <c:symbol val="triangle"/>
            <c:size val="3"/>
            <c:spPr>
              <a:solidFill>
                <a:srgbClr val="FF0066"/>
              </a:solidFill>
              <a:ln>
                <a:solidFill>
                  <a:srgbClr val="FF0066"/>
                </a:solidFill>
              </a:ln>
            </c:spPr>
          </c:marker>
          <c:cat>
            <c:numRef>
              <c:f>'Ko THT'!$B$75:$B$120</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'Ko THT'!$C$75:$C$120</c:f>
              <c:numCache>
                <c:formatCode>General</c:formatCode>
                <c:ptCount val="46"/>
                <c:pt idx="0">
                  <c:v>665</c:v>
                </c:pt>
                <c:pt idx="1">
                  <c:v>320</c:v>
                </c:pt>
                <c:pt idx="2">
                  <c:v>297</c:v>
                </c:pt>
                <c:pt idx="3">
                  <c:v>310</c:v>
                </c:pt>
                <c:pt idx="4">
                  <c:v>333</c:v>
                </c:pt>
                <c:pt idx="5">
                  <c:v>350</c:v>
                </c:pt>
                <c:pt idx="6">
                  <c:v>307</c:v>
                </c:pt>
                <c:pt idx="7">
                  <c:v>323</c:v>
                </c:pt>
                <c:pt idx="8">
                  <c:v>287</c:v>
                </c:pt>
                <c:pt idx="9">
                  <c:v>290</c:v>
                </c:pt>
                <c:pt idx="10">
                  <c:v>310</c:v>
                </c:pt>
                <c:pt idx="11">
                  <c:v>347</c:v>
                </c:pt>
                <c:pt idx="12">
                  <c:v>297</c:v>
                </c:pt>
                <c:pt idx="13">
                  <c:v>280</c:v>
                </c:pt>
                <c:pt idx="14">
                  <c:v>273</c:v>
                </c:pt>
                <c:pt idx="15">
                  <c:v>285</c:v>
                </c:pt>
                <c:pt idx="16">
                  <c:v>278</c:v>
                </c:pt>
                <c:pt idx="17">
                  <c:v>282</c:v>
                </c:pt>
                <c:pt idx="18">
                  <c:v>279</c:v>
                </c:pt>
                <c:pt idx="19">
                  <c:v>277</c:v>
                </c:pt>
                <c:pt idx="20">
                  <c:v>279</c:v>
                </c:pt>
                <c:pt idx="21">
                  <c:v>297</c:v>
                </c:pt>
                <c:pt idx="22">
                  <c:v>360</c:v>
                </c:pt>
                <c:pt idx="23">
                  <c:v>313</c:v>
                </c:pt>
                <c:pt idx="24">
                  <c:v>280</c:v>
                </c:pt>
                <c:pt idx="25">
                  <c:v>297</c:v>
                </c:pt>
                <c:pt idx="26">
                  <c:v>310</c:v>
                </c:pt>
                <c:pt idx="27">
                  <c:v>317</c:v>
                </c:pt>
                <c:pt idx="28">
                  <c:v>306</c:v>
                </c:pt>
                <c:pt idx="29">
                  <c:v>287</c:v>
                </c:pt>
                <c:pt idx="30">
                  <c:v>323</c:v>
                </c:pt>
                <c:pt idx="31">
                  <c:v>350</c:v>
                </c:pt>
                <c:pt idx="32">
                  <c:v>337</c:v>
                </c:pt>
                <c:pt idx="33">
                  <c:v>313</c:v>
                </c:pt>
                <c:pt idx="34">
                  <c:v>363</c:v>
                </c:pt>
                <c:pt idx="35">
                  <c:v>290</c:v>
                </c:pt>
                <c:pt idx="36">
                  <c:v>300</c:v>
                </c:pt>
                <c:pt idx="37">
                  <c:v>300</c:v>
                </c:pt>
                <c:pt idx="38">
                  <c:v>310</c:v>
                </c:pt>
                <c:pt idx="39">
                  <c:v>320</c:v>
                </c:pt>
                <c:pt idx="40">
                  <c:v>330</c:v>
                </c:pt>
                <c:pt idx="41">
                  <c:v>363</c:v>
                </c:pt>
                <c:pt idx="42">
                  <c:v>330</c:v>
                </c:pt>
                <c:pt idx="43">
                  <c:v>337</c:v>
                </c:pt>
                <c:pt idx="44">
                  <c:v>297</c:v>
                </c:pt>
                <c:pt idx="45">
                  <c:v>360</c:v>
                </c:pt>
              </c:numCache>
            </c:numRef>
          </c:val>
          <c:smooth val="0"/>
          <c:extLst xmlns:c16r2="http://schemas.microsoft.com/office/drawing/2015/06/chart">
            <c:ext xmlns:c16="http://schemas.microsoft.com/office/drawing/2014/chart" uri="{C3380CC4-5D6E-409C-BE32-E72D297353CC}">
              <c16:uniqueId val="{00000000-3FCA-48BF-A7AE-C7322A9ABF01}"/>
            </c:ext>
          </c:extLst>
        </c:ser>
        <c:ser>
          <c:idx val="1"/>
          <c:order val="1"/>
          <c:tx>
            <c:strRef>
              <c:f>'Ko THT'!$D$74</c:f>
              <c:strCache>
                <c:ptCount val="1"/>
                <c:pt idx="0">
                  <c:v>QCVN 13 (B)</c:v>
                </c:pt>
              </c:strCache>
            </c:strRef>
          </c:tx>
          <c:spPr>
            <a:ln w="22225">
              <a:prstDash val="solid"/>
            </a:ln>
          </c:spPr>
          <c:marker>
            <c:symbol val="none"/>
          </c:marker>
          <c:cat>
            <c:numRef>
              <c:f>'Ko THT'!$B$75:$B$120</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'Ko THT'!$D$75:$D$120</c:f>
              <c:numCache>
                <c:formatCode>General</c:formatCode>
                <c:ptCount val="46"/>
                <c:pt idx="0">
                  <c:v>150</c:v>
                </c:pt>
                <c:pt idx="1">
                  <c:v>150</c:v>
                </c:pt>
                <c:pt idx="2">
                  <c:v>150</c:v>
                </c:pt>
                <c:pt idx="3">
                  <c:v>150</c:v>
                </c:pt>
                <c:pt idx="4">
                  <c:v>150</c:v>
                </c:pt>
                <c:pt idx="5">
                  <c:v>150</c:v>
                </c:pt>
                <c:pt idx="6">
                  <c:v>150</c:v>
                </c:pt>
                <c:pt idx="7">
                  <c:v>150</c:v>
                </c:pt>
                <c:pt idx="8">
                  <c:v>150</c:v>
                </c:pt>
                <c:pt idx="9">
                  <c:v>150</c:v>
                </c:pt>
                <c:pt idx="10">
                  <c:v>150</c:v>
                </c:pt>
                <c:pt idx="11">
                  <c:v>150</c:v>
                </c:pt>
                <c:pt idx="12">
                  <c:v>150</c:v>
                </c:pt>
                <c:pt idx="13">
                  <c:v>150</c:v>
                </c:pt>
                <c:pt idx="14">
                  <c:v>150</c:v>
                </c:pt>
                <c:pt idx="15">
                  <c:v>150</c:v>
                </c:pt>
                <c:pt idx="16">
                  <c:v>150</c:v>
                </c:pt>
                <c:pt idx="17">
                  <c:v>150</c:v>
                </c:pt>
                <c:pt idx="18">
                  <c:v>150</c:v>
                </c:pt>
                <c:pt idx="19">
                  <c:v>150</c:v>
                </c:pt>
                <c:pt idx="20">
                  <c:v>150</c:v>
                </c:pt>
                <c:pt idx="21">
                  <c:v>150</c:v>
                </c:pt>
                <c:pt idx="22">
                  <c:v>150</c:v>
                </c:pt>
                <c:pt idx="23">
                  <c:v>150</c:v>
                </c:pt>
                <c:pt idx="24">
                  <c:v>150</c:v>
                </c:pt>
                <c:pt idx="25">
                  <c:v>150</c:v>
                </c:pt>
                <c:pt idx="26">
                  <c:v>150</c:v>
                </c:pt>
                <c:pt idx="27">
                  <c:v>150</c:v>
                </c:pt>
                <c:pt idx="28">
                  <c:v>150</c:v>
                </c:pt>
                <c:pt idx="29">
                  <c:v>150</c:v>
                </c:pt>
                <c:pt idx="30">
                  <c:v>150</c:v>
                </c:pt>
                <c:pt idx="31">
                  <c:v>150</c:v>
                </c:pt>
                <c:pt idx="32">
                  <c:v>150</c:v>
                </c:pt>
                <c:pt idx="33">
                  <c:v>150</c:v>
                </c:pt>
                <c:pt idx="34">
                  <c:v>150</c:v>
                </c:pt>
                <c:pt idx="35">
                  <c:v>150</c:v>
                </c:pt>
                <c:pt idx="36">
                  <c:v>150</c:v>
                </c:pt>
                <c:pt idx="37">
                  <c:v>150</c:v>
                </c:pt>
                <c:pt idx="38">
                  <c:v>150</c:v>
                </c:pt>
                <c:pt idx="39">
                  <c:v>150</c:v>
                </c:pt>
                <c:pt idx="40">
                  <c:v>150</c:v>
                </c:pt>
                <c:pt idx="41">
                  <c:v>150</c:v>
                </c:pt>
                <c:pt idx="42">
                  <c:v>150</c:v>
                </c:pt>
                <c:pt idx="43">
                  <c:v>150</c:v>
                </c:pt>
                <c:pt idx="44">
                  <c:v>150</c:v>
                </c:pt>
                <c:pt idx="45">
                  <c:v>150</c:v>
                </c:pt>
              </c:numCache>
            </c:numRef>
          </c:val>
          <c:smooth val="0"/>
          <c:extLst xmlns:c16r2="http://schemas.microsoft.com/office/drawing/2015/06/chart">
            <c:ext xmlns:c16="http://schemas.microsoft.com/office/drawing/2014/chart" uri="{C3380CC4-5D6E-409C-BE32-E72D297353CC}">
              <c16:uniqueId val="{00000001-3FCA-48BF-A7AE-C7322A9ABF01}"/>
            </c:ext>
          </c:extLst>
        </c:ser>
        <c:dLbls>
          <c:showLegendKey val="0"/>
          <c:showVal val="0"/>
          <c:showCatName val="0"/>
          <c:showSerName val="0"/>
          <c:showPercent val="0"/>
          <c:showBubbleSize val="0"/>
        </c:dLbls>
        <c:marker val="1"/>
        <c:smooth val="0"/>
        <c:axId val="65717376"/>
        <c:axId val="65719296"/>
      </c:lineChart>
      <c:dateAx>
        <c:axId val="65717376"/>
        <c:scaling>
          <c:orientation val="minMax"/>
        </c:scaling>
        <c:delete val="0"/>
        <c:axPos val="b"/>
        <c:title>
          <c:tx>
            <c:rich>
              <a:bodyPr/>
              <a:lstStyle/>
              <a:p>
                <a:pPr>
                  <a:defRPr/>
                </a:pPr>
                <a:r>
                  <a:rPr lang="en-US"/>
                  <a:t>Số mẻ</a:t>
                </a:r>
              </a:p>
            </c:rich>
          </c:tx>
          <c:layout>
            <c:manualLayout>
              <c:xMode val="edge"/>
              <c:yMode val="edge"/>
              <c:x val="0.46973634926933866"/>
              <c:y val="0.9214577488158805"/>
            </c:manualLayout>
          </c:layout>
          <c:overlay val="0"/>
        </c:title>
        <c:numFmt formatCode="General" sourceLinked="1"/>
        <c:majorTickMark val="out"/>
        <c:minorTickMark val="none"/>
        <c:tickLblPos val="nextTo"/>
        <c:spPr>
          <a:ln>
            <a:solidFill>
              <a:sysClr val="windowText" lastClr="000000"/>
            </a:solidFill>
          </a:ln>
        </c:spPr>
        <c:crossAx val="65719296"/>
        <c:crosses val="autoZero"/>
        <c:auto val="0"/>
        <c:lblOffset val="100"/>
        <c:baseTimeUnit val="days"/>
        <c:majorUnit val="3"/>
        <c:majorTimeUnit val="days"/>
      </c:dateAx>
      <c:valAx>
        <c:axId val="65719296"/>
        <c:scaling>
          <c:orientation val="minMax"/>
          <c:max val="700"/>
        </c:scaling>
        <c:delete val="0"/>
        <c:axPos val="l"/>
        <c:title>
          <c:tx>
            <c:rich>
              <a:bodyPr rot="-5400000" vert="horz"/>
              <a:lstStyle/>
              <a:p>
                <a:pPr>
                  <a:defRPr/>
                </a:pPr>
                <a:r>
                  <a:rPr lang="en-US"/>
                  <a:t>COD sau xử lý (mg/L)</a:t>
                </a:r>
              </a:p>
            </c:rich>
          </c:tx>
          <c:layout>
            <c:manualLayout>
              <c:xMode val="edge"/>
              <c:yMode val="edge"/>
              <c:x val="4.1271889131356725E-3"/>
              <c:y val="0.23174044556331369"/>
            </c:manualLayout>
          </c:layout>
          <c:overlay val="0"/>
        </c:title>
        <c:numFmt formatCode="General" sourceLinked="1"/>
        <c:majorTickMark val="out"/>
        <c:minorTickMark val="none"/>
        <c:tickLblPos val="nextTo"/>
        <c:spPr>
          <a:ln>
            <a:solidFill>
              <a:sysClr val="windowText" lastClr="000000"/>
            </a:solidFill>
          </a:ln>
        </c:spPr>
        <c:crossAx val="65717376"/>
        <c:crosses val="autoZero"/>
        <c:crossBetween val="midCat"/>
      </c:valAx>
    </c:plotArea>
    <c:legend>
      <c:legendPos val="t"/>
      <c:overlay val="0"/>
    </c:legend>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88265783731021"/>
          <c:y val="0.20150800969220342"/>
          <c:w val="0.80648315218670152"/>
          <c:h val="0.58333722244484032"/>
        </c:manualLayout>
      </c:layout>
      <c:lineChart>
        <c:grouping val="standard"/>
        <c:varyColors val="0"/>
        <c:ser>
          <c:idx val="0"/>
          <c:order val="0"/>
          <c:tx>
            <c:strRef>
              <c:f>THT!$D$65</c:f>
              <c:strCache>
                <c:ptCount val="1"/>
                <c:pt idx="0">
                  <c:v>COD, mg/L</c:v>
                </c:pt>
              </c:strCache>
            </c:strRef>
          </c:tx>
          <c:spPr>
            <a:ln w="15875">
              <a:solidFill>
                <a:srgbClr val="0000CC"/>
              </a:solidFill>
            </a:ln>
          </c:spPr>
          <c:marker>
            <c:symbol val="circle"/>
            <c:size val="3"/>
            <c:spPr>
              <a:solidFill>
                <a:srgbClr val="0000CC"/>
              </a:solidFill>
              <a:ln>
                <a:solidFill>
                  <a:srgbClr val="0000CC"/>
                </a:solidFill>
              </a:ln>
            </c:spPr>
          </c:marker>
          <c:cat>
            <c:numRef>
              <c:f>THT!$C$66:$C$111</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THT!$D$66:$D$111</c:f>
              <c:numCache>
                <c:formatCode>General</c:formatCode>
                <c:ptCount val="46"/>
                <c:pt idx="0">
                  <c:v>665</c:v>
                </c:pt>
                <c:pt idx="1">
                  <c:v>93</c:v>
                </c:pt>
                <c:pt idx="2">
                  <c:v>80</c:v>
                </c:pt>
                <c:pt idx="3">
                  <c:v>87</c:v>
                </c:pt>
                <c:pt idx="4">
                  <c:v>83</c:v>
                </c:pt>
                <c:pt idx="5">
                  <c:v>107</c:v>
                </c:pt>
                <c:pt idx="6">
                  <c:v>117</c:v>
                </c:pt>
                <c:pt idx="7">
                  <c:v>113</c:v>
                </c:pt>
                <c:pt idx="8">
                  <c:v>73</c:v>
                </c:pt>
                <c:pt idx="9">
                  <c:v>90</c:v>
                </c:pt>
                <c:pt idx="10">
                  <c:v>103</c:v>
                </c:pt>
                <c:pt idx="11">
                  <c:v>100</c:v>
                </c:pt>
                <c:pt idx="12">
                  <c:v>93</c:v>
                </c:pt>
                <c:pt idx="13">
                  <c:v>87</c:v>
                </c:pt>
                <c:pt idx="14">
                  <c:v>80</c:v>
                </c:pt>
                <c:pt idx="15">
                  <c:v>73</c:v>
                </c:pt>
                <c:pt idx="16">
                  <c:v>83</c:v>
                </c:pt>
                <c:pt idx="17">
                  <c:v>100</c:v>
                </c:pt>
                <c:pt idx="18">
                  <c:v>73</c:v>
                </c:pt>
                <c:pt idx="19">
                  <c:v>97</c:v>
                </c:pt>
                <c:pt idx="20">
                  <c:v>77</c:v>
                </c:pt>
                <c:pt idx="21">
                  <c:v>93</c:v>
                </c:pt>
                <c:pt idx="22">
                  <c:v>113</c:v>
                </c:pt>
                <c:pt idx="23">
                  <c:v>100</c:v>
                </c:pt>
                <c:pt idx="24">
                  <c:v>127</c:v>
                </c:pt>
                <c:pt idx="25">
                  <c:v>100</c:v>
                </c:pt>
                <c:pt idx="26">
                  <c:v>93</c:v>
                </c:pt>
                <c:pt idx="27">
                  <c:v>93</c:v>
                </c:pt>
                <c:pt idx="28">
                  <c:v>97</c:v>
                </c:pt>
                <c:pt idx="29">
                  <c:v>73</c:v>
                </c:pt>
                <c:pt idx="30">
                  <c:v>63</c:v>
                </c:pt>
                <c:pt idx="31">
                  <c:v>50</c:v>
                </c:pt>
                <c:pt idx="32">
                  <c:v>77</c:v>
                </c:pt>
                <c:pt idx="33">
                  <c:v>90</c:v>
                </c:pt>
                <c:pt idx="34">
                  <c:v>63</c:v>
                </c:pt>
                <c:pt idx="35">
                  <c:v>93</c:v>
                </c:pt>
                <c:pt idx="36">
                  <c:v>93</c:v>
                </c:pt>
                <c:pt idx="37">
                  <c:v>93</c:v>
                </c:pt>
                <c:pt idx="38">
                  <c:v>87</c:v>
                </c:pt>
                <c:pt idx="39">
                  <c:v>100</c:v>
                </c:pt>
                <c:pt idx="40">
                  <c:v>103</c:v>
                </c:pt>
                <c:pt idx="41">
                  <c:v>103</c:v>
                </c:pt>
                <c:pt idx="42">
                  <c:v>103</c:v>
                </c:pt>
                <c:pt idx="43">
                  <c:v>96</c:v>
                </c:pt>
                <c:pt idx="44">
                  <c:v>93</c:v>
                </c:pt>
                <c:pt idx="45">
                  <c:v>83</c:v>
                </c:pt>
              </c:numCache>
            </c:numRef>
          </c:val>
          <c:smooth val="0"/>
          <c:extLst xmlns:c16r2="http://schemas.microsoft.com/office/drawing/2015/06/chart">
            <c:ext xmlns:c16="http://schemas.microsoft.com/office/drawing/2014/chart" uri="{C3380CC4-5D6E-409C-BE32-E72D297353CC}">
              <c16:uniqueId val="{00000000-F327-4CBA-8A3B-A9262F783CFF}"/>
            </c:ext>
          </c:extLst>
        </c:ser>
        <c:ser>
          <c:idx val="1"/>
          <c:order val="1"/>
          <c:tx>
            <c:strRef>
              <c:f>THT!$E$65</c:f>
              <c:strCache>
                <c:ptCount val="1"/>
                <c:pt idx="0">
                  <c:v>QCVN 13 (B)</c:v>
                </c:pt>
              </c:strCache>
            </c:strRef>
          </c:tx>
          <c:spPr>
            <a:ln w="22225">
              <a:prstDash val="solid"/>
            </a:ln>
          </c:spPr>
          <c:marker>
            <c:symbol val="none"/>
          </c:marker>
          <c:cat>
            <c:numRef>
              <c:f>THT!$C$66:$C$111</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THT!$E$66:$E$111</c:f>
              <c:numCache>
                <c:formatCode>General</c:formatCode>
                <c:ptCount val="46"/>
                <c:pt idx="0">
                  <c:v>150</c:v>
                </c:pt>
                <c:pt idx="1">
                  <c:v>150</c:v>
                </c:pt>
                <c:pt idx="2">
                  <c:v>150</c:v>
                </c:pt>
                <c:pt idx="3">
                  <c:v>150</c:v>
                </c:pt>
                <c:pt idx="4">
                  <c:v>150</c:v>
                </c:pt>
                <c:pt idx="5">
                  <c:v>150</c:v>
                </c:pt>
                <c:pt idx="6">
                  <c:v>150</c:v>
                </c:pt>
                <c:pt idx="7">
                  <c:v>150</c:v>
                </c:pt>
                <c:pt idx="8">
                  <c:v>150</c:v>
                </c:pt>
                <c:pt idx="9">
                  <c:v>150</c:v>
                </c:pt>
                <c:pt idx="10">
                  <c:v>150</c:v>
                </c:pt>
                <c:pt idx="11">
                  <c:v>150</c:v>
                </c:pt>
                <c:pt idx="12">
                  <c:v>150</c:v>
                </c:pt>
                <c:pt idx="13">
                  <c:v>150</c:v>
                </c:pt>
                <c:pt idx="14">
                  <c:v>150</c:v>
                </c:pt>
                <c:pt idx="15">
                  <c:v>150</c:v>
                </c:pt>
                <c:pt idx="16">
                  <c:v>150</c:v>
                </c:pt>
                <c:pt idx="17">
                  <c:v>150</c:v>
                </c:pt>
                <c:pt idx="18">
                  <c:v>150</c:v>
                </c:pt>
                <c:pt idx="19">
                  <c:v>150</c:v>
                </c:pt>
                <c:pt idx="20">
                  <c:v>150</c:v>
                </c:pt>
                <c:pt idx="21">
                  <c:v>150</c:v>
                </c:pt>
                <c:pt idx="22">
                  <c:v>150</c:v>
                </c:pt>
                <c:pt idx="23">
                  <c:v>150</c:v>
                </c:pt>
                <c:pt idx="24">
                  <c:v>150</c:v>
                </c:pt>
                <c:pt idx="25">
                  <c:v>150</c:v>
                </c:pt>
                <c:pt idx="26">
                  <c:v>150</c:v>
                </c:pt>
                <c:pt idx="27">
                  <c:v>150</c:v>
                </c:pt>
                <c:pt idx="28">
                  <c:v>150</c:v>
                </c:pt>
                <c:pt idx="29">
                  <c:v>150</c:v>
                </c:pt>
                <c:pt idx="30">
                  <c:v>150</c:v>
                </c:pt>
                <c:pt idx="31">
                  <c:v>150</c:v>
                </c:pt>
                <c:pt idx="32">
                  <c:v>150</c:v>
                </c:pt>
                <c:pt idx="33">
                  <c:v>150</c:v>
                </c:pt>
                <c:pt idx="34">
                  <c:v>150</c:v>
                </c:pt>
                <c:pt idx="35">
                  <c:v>150</c:v>
                </c:pt>
                <c:pt idx="36">
                  <c:v>150</c:v>
                </c:pt>
                <c:pt idx="37">
                  <c:v>150</c:v>
                </c:pt>
                <c:pt idx="38">
                  <c:v>150</c:v>
                </c:pt>
                <c:pt idx="39">
                  <c:v>150</c:v>
                </c:pt>
                <c:pt idx="40">
                  <c:v>150</c:v>
                </c:pt>
                <c:pt idx="41">
                  <c:v>150</c:v>
                </c:pt>
                <c:pt idx="42">
                  <c:v>150</c:v>
                </c:pt>
                <c:pt idx="43">
                  <c:v>150</c:v>
                </c:pt>
                <c:pt idx="44">
                  <c:v>150</c:v>
                </c:pt>
                <c:pt idx="45">
                  <c:v>150</c:v>
                </c:pt>
              </c:numCache>
            </c:numRef>
          </c:val>
          <c:smooth val="0"/>
          <c:extLst xmlns:c16r2="http://schemas.microsoft.com/office/drawing/2015/06/chart">
            <c:ext xmlns:c16="http://schemas.microsoft.com/office/drawing/2014/chart" uri="{C3380CC4-5D6E-409C-BE32-E72D297353CC}">
              <c16:uniqueId val="{00000001-F327-4CBA-8A3B-A9262F783CFF}"/>
            </c:ext>
          </c:extLst>
        </c:ser>
        <c:dLbls>
          <c:showLegendKey val="0"/>
          <c:showVal val="0"/>
          <c:showCatName val="0"/>
          <c:showSerName val="0"/>
          <c:showPercent val="0"/>
          <c:showBubbleSize val="0"/>
        </c:dLbls>
        <c:marker val="1"/>
        <c:smooth val="0"/>
        <c:axId val="109656320"/>
        <c:axId val="109662592"/>
      </c:lineChart>
      <c:dateAx>
        <c:axId val="109656320"/>
        <c:scaling>
          <c:orientation val="minMax"/>
        </c:scaling>
        <c:delete val="0"/>
        <c:axPos val="b"/>
        <c:title>
          <c:tx>
            <c:rich>
              <a:bodyPr/>
              <a:lstStyle/>
              <a:p>
                <a:pPr>
                  <a:defRPr/>
                </a:pPr>
                <a:r>
                  <a:rPr lang="en-US"/>
                  <a:t>Số mẻ</a:t>
                </a:r>
              </a:p>
            </c:rich>
          </c:tx>
          <c:layout>
            <c:manualLayout>
              <c:xMode val="edge"/>
              <c:yMode val="edge"/>
              <c:x val="0.49389685162595737"/>
              <c:y val="0.93255476003109139"/>
            </c:manualLayout>
          </c:layout>
          <c:overlay val="0"/>
        </c:title>
        <c:numFmt formatCode="General" sourceLinked="1"/>
        <c:majorTickMark val="out"/>
        <c:minorTickMark val="none"/>
        <c:tickLblPos val="nextTo"/>
        <c:spPr>
          <a:ln>
            <a:solidFill>
              <a:schemeClr val="tx1"/>
            </a:solidFill>
          </a:ln>
        </c:spPr>
        <c:crossAx val="109662592"/>
        <c:crosses val="autoZero"/>
        <c:auto val="0"/>
        <c:lblOffset val="100"/>
        <c:baseTimeUnit val="days"/>
        <c:majorUnit val="3"/>
        <c:majorTimeUnit val="days"/>
      </c:dateAx>
      <c:valAx>
        <c:axId val="109662592"/>
        <c:scaling>
          <c:orientation val="minMax"/>
        </c:scaling>
        <c:delete val="0"/>
        <c:axPos val="l"/>
        <c:title>
          <c:tx>
            <c:rich>
              <a:bodyPr rot="-5400000" vert="horz"/>
              <a:lstStyle/>
              <a:p>
                <a:pPr>
                  <a:defRPr/>
                </a:pPr>
                <a:r>
                  <a:rPr lang="en-US"/>
                  <a:t>COD sau xử lý (mg/L)</a:t>
                </a:r>
              </a:p>
            </c:rich>
          </c:tx>
          <c:layout>
            <c:manualLayout>
              <c:xMode val="edge"/>
              <c:yMode val="edge"/>
              <c:x val="4.3310135697134612E-3"/>
              <c:y val="0.23111085362510789"/>
            </c:manualLayout>
          </c:layout>
          <c:overlay val="0"/>
        </c:title>
        <c:numFmt formatCode="General" sourceLinked="1"/>
        <c:majorTickMark val="out"/>
        <c:minorTickMark val="none"/>
        <c:tickLblPos val="nextTo"/>
        <c:spPr>
          <a:ln>
            <a:solidFill>
              <a:sysClr val="windowText" lastClr="000000"/>
            </a:solidFill>
          </a:ln>
        </c:spPr>
        <c:crossAx val="109656320"/>
        <c:crosses val="autoZero"/>
        <c:crossBetween val="midCat"/>
      </c:valAx>
    </c:plotArea>
    <c:legend>
      <c:legendPos val="t"/>
      <c:overlay val="0"/>
    </c:legend>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463F-365D-475B-A0ED-1A461DCE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ĐÁNH GIÁ ẢNH HƯỞNG CỦA POLYME LOẠI CATION</vt:lpstr>
    </vt:vector>
  </TitlesOfParts>
  <Company>Hewlett-Packard</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GIÁ ẢNH HƯỞNG CỦA POLYME LOẠI CATION</dc:title>
  <dc:creator>vietha</dc:creator>
  <cp:lastModifiedBy>Windows User</cp:lastModifiedBy>
  <cp:revision>15</cp:revision>
  <dcterms:created xsi:type="dcterms:W3CDTF">2017-10-06T07:27:00Z</dcterms:created>
  <dcterms:modified xsi:type="dcterms:W3CDTF">2017-11-12T04:02:00Z</dcterms:modified>
</cp:coreProperties>
</file>