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900" w:rsidRPr="00850805" w:rsidRDefault="0089237E" w:rsidP="00850805">
      <w:pPr>
        <w:spacing w:before="120" w:after="120" w:line="340" w:lineRule="exact"/>
        <w:jc w:val="center"/>
        <w:rPr>
          <w:rFonts w:cs="Times New Roman"/>
          <w:b/>
          <w:szCs w:val="26"/>
        </w:rPr>
      </w:pPr>
      <w:r w:rsidRPr="00850805">
        <w:rPr>
          <w:rFonts w:cs="Times New Roman"/>
          <w:b/>
          <w:szCs w:val="26"/>
        </w:rPr>
        <w:t xml:space="preserve">Mua sắm công xanh việt nam trong bối cảnh </w:t>
      </w:r>
    </w:p>
    <w:p w:rsidR="00765900" w:rsidRPr="00850805" w:rsidRDefault="0089237E" w:rsidP="00850805">
      <w:pPr>
        <w:spacing w:before="120" w:after="120" w:line="340" w:lineRule="exact"/>
        <w:jc w:val="center"/>
        <w:rPr>
          <w:rFonts w:cs="Times New Roman"/>
          <w:b/>
          <w:szCs w:val="26"/>
        </w:rPr>
      </w:pPr>
      <w:proofErr w:type="gramStart"/>
      <w:r>
        <w:rPr>
          <w:rFonts w:cs="Times New Roman"/>
          <w:b/>
          <w:szCs w:val="26"/>
        </w:rPr>
        <w:t>h</w:t>
      </w:r>
      <w:r w:rsidRPr="00850805">
        <w:rPr>
          <w:rFonts w:cs="Times New Roman"/>
          <w:b/>
          <w:szCs w:val="26"/>
        </w:rPr>
        <w:t>ội</w:t>
      </w:r>
      <w:proofErr w:type="gramEnd"/>
      <w:r w:rsidRPr="00850805">
        <w:rPr>
          <w:rFonts w:cs="Times New Roman"/>
          <w:b/>
          <w:szCs w:val="26"/>
        </w:rPr>
        <w:t xml:space="preserve"> nhập kinh tế quốc tế</w:t>
      </w:r>
    </w:p>
    <w:p w:rsidR="00765900" w:rsidRPr="00850805" w:rsidRDefault="006E3B08" w:rsidP="00850805">
      <w:pPr>
        <w:spacing w:before="120" w:after="120" w:line="340" w:lineRule="exact"/>
        <w:jc w:val="center"/>
        <w:rPr>
          <w:rFonts w:cs="Times New Roman"/>
          <w:szCs w:val="26"/>
        </w:rPr>
      </w:pPr>
      <w:r w:rsidRPr="00850805">
        <w:rPr>
          <w:rFonts w:cs="Times New Roman"/>
          <w:szCs w:val="26"/>
          <w:lang w:val="vi-VN"/>
        </w:rPr>
        <w:t>Nguyễn Quốc Việt</w:t>
      </w:r>
      <w:r w:rsidRPr="00850805">
        <w:rPr>
          <w:rFonts w:cs="Times New Roman"/>
          <w:szCs w:val="26"/>
        </w:rPr>
        <w:t>, Lương Thị Ngọc Hà, Lưu Quốc Đạt*, Nguyễn Thị Phan Thu</w:t>
      </w:r>
    </w:p>
    <w:p w:rsidR="006E3B08" w:rsidRPr="00850805" w:rsidRDefault="006E3B08" w:rsidP="00850805">
      <w:pPr>
        <w:spacing w:before="120" w:after="120" w:line="340" w:lineRule="exact"/>
        <w:jc w:val="center"/>
        <w:rPr>
          <w:rFonts w:cs="Times New Roman"/>
          <w:szCs w:val="26"/>
        </w:rPr>
      </w:pPr>
      <w:r w:rsidRPr="00850805">
        <w:rPr>
          <w:rFonts w:cs="Times New Roman"/>
          <w:szCs w:val="26"/>
        </w:rPr>
        <w:t>Đại học Kinh tế, Đại học Quốc gia Hà Nội</w:t>
      </w:r>
    </w:p>
    <w:p w:rsidR="00765900" w:rsidRPr="00850805" w:rsidRDefault="00765900" w:rsidP="00850805">
      <w:pPr>
        <w:spacing w:before="120" w:after="120" w:line="340" w:lineRule="exact"/>
        <w:rPr>
          <w:rFonts w:cs="Times New Roman"/>
          <w:b/>
          <w:szCs w:val="26"/>
        </w:rPr>
      </w:pPr>
      <w:r w:rsidRPr="00850805">
        <w:rPr>
          <w:rFonts w:cs="Times New Roman"/>
          <w:b/>
          <w:szCs w:val="26"/>
        </w:rPr>
        <w:t>Tóm tắt</w:t>
      </w:r>
    </w:p>
    <w:p w:rsidR="00765900" w:rsidRDefault="00765900" w:rsidP="00850805">
      <w:pPr>
        <w:spacing w:before="120" w:after="120" w:line="340" w:lineRule="exact"/>
        <w:ind w:firstLine="720"/>
        <w:rPr>
          <w:rFonts w:cs="Times New Roman"/>
          <w:szCs w:val="26"/>
          <w:shd w:val="clear" w:color="auto" w:fill="FFFFFF"/>
        </w:rPr>
      </w:pPr>
      <w:proofErr w:type="gramStart"/>
      <w:r w:rsidRPr="00850805">
        <w:rPr>
          <w:rFonts w:cs="Times New Roman"/>
          <w:szCs w:val="26"/>
          <w:shd w:val="clear" w:color="auto" w:fill="FFFFFF"/>
        </w:rPr>
        <w:t>Ô nhiễm môi trường, biến đổi khí hậu, và cạn kiệt tài nguyên đang là những vấn đề cấp thiết ảnh hưởng tới sự tăng trưởng và phát triển bền vững của các quốc gia.</w:t>
      </w:r>
      <w:proofErr w:type="gramEnd"/>
      <w:r w:rsidRPr="00850805">
        <w:rPr>
          <w:rFonts w:cs="Times New Roman"/>
          <w:szCs w:val="26"/>
          <w:shd w:val="clear" w:color="auto" w:fill="FFFFFF"/>
        </w:rPr>
        <w:t xml:space="preserve"> </w:t>
      </w:r>
      <w:r w:rsidR="004A22AC" w:rsidRPr="00850805">
        <w:rPr>
          <w:rFonts w:cs="Times New Roman"/>
          <w:szCs w:val="26"/>
          <w:shd w:val="clear" w:color="auto" w:fill="FFFFFF"/>
        </w:rPr>
        <w:t>Trong</w:t>
      </w:r>
      <w:r w:rsidRPr="00850805">
        <w:rPr>
          <w:rFonts w:cs="Times New Roman"/>
          <w:szCs w:val="26"/>
          <w:shd w:val="clear" w:color="auto" w:fill="FFFFFF"/>
        </w:rPr>
        <w:t xml:space="preserve"> quá trình hội nhập</w:t>
      </w:r>
      <w:bookmarkStart w:id="0" w:name="_GoBack"/>
      <w:bookmarkEnd w:id="0"/>
      <w:r w:rsidRPr="00850805">
        <w:rPr>
          <w:rFonts w:cs="Times New Roman"/>
          <w:szCs w:val="26"/>
          <w:shd w:val="clear" w:color="auto" w:fill="FFFFFF"/>
        </w:rPr>
        <w:t xml:space="preserve"> sâu rộng vào nền kinh tế thế giới, Việt Nam đã đưa ra </w:t>
      </w:r>
      <w:r w:rsidR="004A22AC" w:rsidRPr="00850805">
        <w:rPr>
          <w:rFonts w:cs="Times New Roman"/>
          <w:szCs w:val="26"/>
          <w:shd w:val="clear" w:color="auto" w:fill="FFFFFF"/>
        </w:rPr>
        <w:t>nhiều chính sách</w:t>
      </w:r>
      <w:r w:rsidRPr="00850805">
        <w:rPr>
          <w:rFonts w:cs="Times New Roman"/>
          <w:szCs w:val="26"/>
          <w:shd w:val="clear" w:color="auto" w:fill="FFFFFF"/>
        </w:rPr>
        <w:t xml:space="preserve"> </w:t>
      </w:r>
      <w:r w:rsidRPr="00850805">
        <w:rPr>
          <w:rFonts w:cs="Times New Roman"/>
          <w:szCs w:val="26"/>
          <w:shd w:val="clear" w:color="auto" w:fill="FFFFFF"/>
          <w:lang w:val="vi-VN"/>
        </w:rPr>
        <w:t xml:space="preserve">nhằm thúc đẩy sự chuyển dịch mô hình tăng trưởng </w:t>
      </w:r>
      <w:proofErr w:type="gramStart"/>
      <w:r w:rsidRPr="00850805">
        <w:rPr>
          <w:rFonts w:cs="Times New Roman"/>
          <w:szCs w:val="26"/>
          <w:shd w:val="clear" w:color="auto" w:fill="FFFFFF"/>
          <w:lang w:val="vi-VN"/>
        </w:rPr>
        <w:t>theo</w:t>
      </w:r>
      <w:proofErr w:type="gramEnd"/>
      <w:r w:rsidRPr="00850805">
        <w:rPr>
          <w:rFonts w:cs="Times New Roman"/>
          <w:szCs w:val="26"/>
          <w:shd w:val="clear" w:color="auto" w:fill="FFFFFF"/>
          <w:lang w:val="vi-VN"/>
        </w:rPr>
        <w:t xml:space="preserve"> hướng thân thiện với môi trường</w:t>
      </w:r>
      <w:r w:rsidRPr="00850805">
        <w:rPr>
          <w:rFonts w:cs="Times New Roman"/>
          <w:szCs w:val="26"/>
          <w:shd w:val="clear" w:color="auto" w:fill="FFFFFF"/>
        </w:rPr>
        <w:t xml:space="preserve">. </w:t>
      </w:r>
      <w:proofErr w:type="gramStart"/>
      <w:r w:rsidRPr="00850805">
        <w:rPr>
          <w:rFonts w:cs="Times New Roman"/>
          <w:szCs w:val="26"/>
          <w:shd w:val="clear" w:color="auto" w:fill="FFFFFF"/>
        </w:rPr>
        <w:t>Một trong những xu hướng được quan tâm đó là thúc đẩy sản xuất và tiêu thụ các sản phẩm xanh</w:t>
      </w:r>
      <w:r w:rsidR="00282342">
        <w:rPr>
          <w:rFonts w:cs="Times New Roman"/>
          <w:szCs w:val="26"/>
          <w:shd w:val="clear" w:color="auto" w:fill="FFFFFF"/>
        </w:rPr>
        <w:t xml:space="preserve"> (SPX)</w:t>
      </w:r>
      <w:r w:rsidRPr="00850805">
        <w:rPr>
          <w:rFonts w:cs="Times New Roman"/>
          <w:szCs w:val="26"/>
          <w:shd w:val="clear" w:color="auto" w:fill="FFFFFF"/>
        </w:rPr>
        <w:t>.</w:t>
      </w:r>
      <w:proofErr w:type="gramEnd"/>
      <w:r w:rsidRPr="00850805">
        <w:rPr>
          <w:rFonts w:cs="Times New Roman"/>
          <w:szCs w:val="26"/>
          <w:shd w:val="clear" w:color="auto" w:fill="FFFFFF"/>
        </w:rPr>
        <w:t xml:space="preserve"> </w:t>
      </w:r>
      <w:proofErr w:type="gramStart"/>
      <w:r w:rsidRPr="00850805">
        <w:rPr>
          <w:rFonts w:cs="Times New Roman"/>
          <w:szCs w:val="26"/>
          <w:shd w:val="clear" w:color="auto" w:fill="FFFFFF"/>
        </w:rPr>
        <w:t xml:space="preserve">Trong đó, </w:t>
      </w:r>
      <w:r w:rsidR="007F1783">
        <w:rPr>
          <w:rFonts w:cs="Times New Roman"/>
          <w:szCs w:val="26"/>
          <w:shd w:val="clear" w:color="auto" w:fill="FFFFFF"/>
        </w:rPr>
        <w:t>MSX</w:t>
      </w:r>
      <w:r w:rsidRPr="00850805">
        <w:rPr>
          <w:rFonts w:cs="Times New Roman"/>
          <w:szCs w:val="26"/>
          <w:shd w:val="clear" w:color="auto" w:fill="FFFFFF"/>
        </w:rPr>
        <w:t xml:space="preserve"> trong khu vực công có vai trò quan trọng trong việc định hướng và dẫn dắt thị trường.</w:t>
      </w:r>
      <w:proofErr w:type="gramEnd"/>
      <w:r w:rsidRPr="00850805">
        <w:rPr>
          <w:rFonts w:cs="Times New Roman"/>
          <w:szCs w:val="26"/>
          <w:shd w:val="clear" w:color="auto" w:fill="FFFFFF"/>
        </w:rPr>
        <w:t xml:space="preserve"> </w:t>
      </w:r>
      <w:proofErr w:type="gramStart"/>
      <w:r w:rsidRPr="00850805">
        <w:rPr>
          <w:rFonts w:cs="Times New Roman"/>
          <w:szCs w:val="26"/>
          <w:shd w:val="clear" w:color="auto" w:fill="FFFFFF"/>
        </w:rPr>
        <w:t>Mặc dù đã có nhiều tổ chức và học giả trên thế giới nghiên cứu các vấn đề khác nhau liên quan tới mua sắm công xanh</w:t>
      </w:r>
      <w:r w:rsidR="004A22AC" w:rsidRPr="00850805">
        <w:rPr>
          <w:rFonts w:cs="Times New Roman"/>
          <w:szCs w:val="26"/>
          <w:shd w:val="clear" w:color="auto" w:fill="FFFFFF"/>
        </w:rPr>
        <w:t xml:space="preserve"> (MSCX)</w:t>
      </w:r>
      <w:r w:rsidRPr="00850805">
        <w:rPr>
          <w:rFonts w:cs="Times New Roman"/>
          <w:szCs w:val="26"/>
          <w:shd w:val="clear" w:color="auto" w:fill="FFFFFF"/>
        </w:rPr>
        <w:t>, nhưng số lượng các nghiên cứu này tại Việt Nam còn rất hạn chế.</w:t>
      </w:r>
      <w:proofErr w:type="gramEnd"/>
      <w:r w:rsidRPr="00850805">
        <w:rPr>
          <w:rFonts w:cs="Times New Roman"/>
          <w:szCs w:val="26"/>
          <w:shd w:val="clear" w:color="auto" w:fill="FFFFFF"/>
        </w:rPr>
        <w:t xml:space="preserve"> Do đó, mục tiêu của nghiên cứu </w:t>
      </w:r>
      <w:r w:rsidR="00A95917" w:rsidRPr="00850805">
        <w:rPr>
          <w:rFonts w:cs="Times New Roman"/>
          <w:szCs w:val="26"/>
          <w:shd w:val="clear" w:color="auto" w:fill="FFFFFF"/>
        </w:rPr>
        <w:t xml:space="preserve">là trên cơ sở đánh giá </w:t>
      </w:r>
      <w:r w:rsidR="004A22AC" w:rsidRPr="00850805">
        <w:rPr>
          <w:rFonts w:cs="Times New Roman"/>
          <w:szCs w:val="26"/>
          <w:shd w:val="clear" w:color="auto" w:fill="FFFFFF"/>
        </w:rPr>
        <w:t>thực trạng chính sách liên quan tới MSCX, kinh nghiệm quốc tế trong việc MSCX, thuận lợi và khó khăn trong thực hiện MSCX tại Việt Nam</w:t>
      </w:r>
      <w:r w:rsidR="00A95917" w:rsidRPr="00850805">
        <w:rPr>
          <w:rFonts w:cs="Times New Roman"/>
          <w:szCs w:val="26"/>
          <w:shd w:val="clear" w:color="auto" w:fill="FFFFFF"/>
        </w:rPr>
        <w:t xml:space="preserve">, </w:t>
      </w:r>
      <w:proofErr w:type="gramStart"/>
      <w:r w:rsidR="00A95917" w:rsidRPr="00850805">
        <w:rPr>
          <w:rFonts w:cs="Times New Roman"/>
          <w:szCs w:val="26"/>
          <w:shd w:val="clear" w:color="auto" w:fill="FFFFFF"/>
        </w:rPr>
        <w:t>nghiên</w:t>
      </w:r>
      <w:proofErr w:type="gramEnd"/>
      <w:r w:rsidR="00A95917" w:rsidRPr="00850805">
        <w:rPr>
          <w:rFonts w:cs="Times New Roman"/>
          <w:szCs w:val="26"/>
          <w:shd w:val="clear" w:color="auto" w:fill="FFFFFF"/>
        </w:rPr>
        <w:t xml:space="preserve"> cứu </w:t>
      </w:r>
      <w:r w:rsidR="00A71052" w:rsidRPr="00850805">
        <w:rPr>
          <w:rFonts w:cs="Times New Roman"/>
          <w:szCs w:val="26"/>
          <w:shd w:val="clear" w:color="auto" w:fill="FFFFFF"/>
        </w:rPr>
        <w:t>đưa ra</w:t>
      </w:r>
      <w:r w:rsidR="00A95917" w:rsidRPr="00850805">
        <w:rPr>
          <w:rFonts w:cs="Times New Roman"/>
          <w:szCs w:val="26"/>
          <w:shd w:val="clear" w:color="auto" w:fill="FFFFFF"/>
        </w:rPr>
        <w:t xml:space="preserve"> một số k</w:t>
      </w:r>
      <w:r w:rsidR="006E10D6">
        <w:rPr>
          <w:rFonts w:cs="Times New Roman"/>
          <w:szCs w:val="26"/>
          <w:shd w:val="clear" w:color="auto" w:fill="FFFFFF"/>
        </w:rPr>
        <w:t>huyến</w:t>
      </w:r>
      <w:r w:rsidR="00A95917" w:rsidRPr="00850805">
        <w:rPr>
          <w:rFonts w:cs="Times New Roman"/>
          <w:szCs w:val="26"/>
          <w:shd w:val="clear" w:color="auto" w:fill="FFFFFF"/>
        </w:rPr>
        <w:t xml:space="preserve"> nghị nhằm góp phần thúc đẩy sự </w:t>
      </w:r>
      <w:r w:rsidRPr="00850805">
        <w:rPr>
          <w:rFonts w:cs="Times New Roman"/>
          <w:szCs w:val="26"/>
          <w:shd w:val="clear" w:color="auto" w:fill="FFFFFF"/>
        </w:rPr>
        <w:t xml:space="preserve">thực hiện </w:t>
      </w:r>
      <w:r w:rsidR="004A22AC" w:rsidRPr="00850805">
        <w:rPr>
          <w:rFonts w:cs="Times New Roman"/>
          <w:szCs w:val="26"/>
          <w:shd w:val="clear" w:color="auto" w:fill="FFFFFF"/>
        </w:rPr>
        <w:t>MSCX</w:t>
      </w:r>
      <w:r w:rsidRPr="00850805">
        <w:rPr>
          <w:rFonts w:cs="Times New Roman"/>
          <w:szCs w:val="26"/>
          <w:shd w:val="clear" w:color="auto" w:fill="FFFFFF"/>
        </w:rPr>
        <w:t xml:space="preserve"> tại Việt Nam. </w:t>
      </w:r>
    </w:p>
    <w:p w:rsidR="00D64FE5" w:rsidRPr="00850805" w:rsidRDefault="00D64FE5" w:rsidP="00D64FE5">
      <w:pPr>
        <w:spacing w:before="120" w:after="120" w:line="340" w:lineRule="exact"/>
        <w:rPr>
          <w:rFonts w:cs="Times New Roman"/>
          <w:szCs w:val="26"/>
          <w:shd w:val="clear" w:color="auto" w:fill="FFFFFF"/>
        </w:rPr>
      </w:pPr>
      <w:r w:rsidRPr="00D64FE5">
        <w:rPr>
          <w:rFonts w:cs="Times New Roman"/>
          <w:b/>
          <w:i/>
          <w:szCs w:val="26"/>
          <w:shd w:val="clear" w:color="auto" w:fill="FFFFFF"/>
        </w:rPr>
        <w:t>Từ khóa</w:t>
      </w:r>
      <w:r>
        <w:rPr>
          <w:rFonts w:cs="Times New Roman"/>
          <w:szCs w:val="26"/>
          <w:shd w:val="clear" w:color="auto" w:fill="FFFFFF"/>
        </w:rPr>
        <w:t>: Mua sắm công xanh, hội nhập kinh tế quốc tế, tăng trưởng xanh, kinh tế xanh</w:t>
      </w:r>
    </w:p>
    <w:p w:rsidR="00765900" w:rsidRPr="00850805" w:rsidRDefault="00765900" w:rsidP="00850805">
      <w:pPr>
        <w:spacing w:before="120" w:after="120" w:line="340" w:lineRule="exact"/>
        <w:rPr>
          <w:rFonts w:cs="Times New Roman"/>
          <w:b/>
          <w:color w:val="FF0000"/>
          <w:szCs w:val="26"/>
        </w:rPr>
      </w:pPr>
      <w:r w:rsidRPr="00850805">
        <w:rPr>
          <w:rFonts w:cs="Times New Roman"/>
          <w:b/>
          <w:szCs w:val="26"/>
        </w:rPr>
        <w:t xml:space="preserve">1. Giới thiệu </w:t>
      </w:r>
      <w:proofErr w:type="gramStart"/>
      <w:r w:rsidRPr="00850805">
        <w:rPr>
          <w:rFonts w:cs="Times New Roman"/>
          <w:b/>
          <w:szCs w:val="26"/>
        </w:rPr>
        <w:t>chung</w:t>
      </w:r>
      <w:proofErr w:type="gramEnd"/>
      <w:r w:rsidRPr="00850805">
        <w:rPr>
          <w:rFonts w:cs="Times New Roman"/>
          <w:b/>
          <w:szCs w:val="26"/>
        </w:rPr>
        <w:t xml:space="preserve">  </w:t>
      </w:r>
      <w:r w:rsidRPr="00850805">
        <w:rPr>
          <w:rFonts w:cs="Times New Roman"/>
          <w:b/>
          <w:color w:val="FF0000"/>
          <w:szCs w:val="26"/>
        </w:rPr>
        <w:t xml:space="preserve">    </w:t>
      </w:r>
    </w:p>
    <w:p w:rsidR="00765900" w:rsidRPr="00850805" w:rsidRDefault="00765900" w:rsidP="00850805">
      <w:pPr>
        <w:spacing w:before="120" w:after="120" w:line="340" w:lineRule="exact"/>
        <w:ind w:firstLine="720"/>
        <w:rPr>
          <w:rFonts w:cs="Times New Roman"/>
          <w:szCs w:val="26"/>
          <w:shd w:val="clear" w:color="auto" w:fill="FFFFFF"/>
        </w:rPr>
      </w:pPr>
      <w:proofErr w:type="gramStart"/>
      <w:r w:rsidRPr="00850805">
        <w:rPr>
          <w:rFonts w:cs="Times New Roman"/>
          <w:szCs w:val="26"/>
          <w:shd w:val="clear" w:color="auto" w:fill="FFFFFF"/>
        </w:rPr>
        <w:t>Biến đổi khí hậu, ô nhiễm môi trường, cạn kiệt tài nguyên môi trường</w:t>
      </w:r>
      <w:r w:rsidR="00FF672D" w:rsidRPr="00850805">
        <w:rPr>
          <w:rFonts w:cs="Times New Roman"/>
          <w:szCs w:val="26"/>
          <w:shd w:val="clear" w:color="auto" w:fill="FFFFFF"/>
        </w:rPr>
        <w:t xml:space="preserve"> </w:t>
      </w:r>
      <w:r w:rsidRPr="00850805">
        <w:rPr>
          <w:rFonts w:cs="Times New Roman"/>
          <w:szCs w:val="26"/>
          <w:shd w:val="clear" w:color="auto" w:fill="FFFFFF"/>
        </w:rPr>
        <w:t>không còn là vấn đề của mỗi quốc gia mà đã trở thành mối lo ngại toàn cầu.</w:t>
      </w:r>
      <w:proofErr w:type="gramEnd"/>
      <w:r w:rsidRPr="00850805">
        <w:rPr>
          <w:rFonts w:cs="Times New Roman"/>
          <w:szCs w:val="26"/>
          <w:shd w:val="clear" w:color="auto" w:fill="FFFFFF"/>
        </w:rPr>
        <w:t xml:space="preserve"> </w:t>
      </w:r>
      <w:proofErr w:type="gramStart"/>
      <w:r w:rsidRPr="00850805">
        <w:rPr>
          <w:rFonts w:cs="Times New Roman"/>
          <w:szCs w:val="26"/>
          <w:shd w:val="clear" w:color="auto" w:fill="FFFFFF"/>
        </w:rPr>
        <w:t>Các quốc gia trên thế giới đều đang hướng tới những chiến lược và chính sách nhằm hạn chế và ứng phó với những vấn nạn trên.</w:t>
      </w:r>
      <w:proofErr w:type="gramEnd"/>
      <w:r w:rsidRPr="00850805">
        <w:rPr>
          <w:rFonts w:cs="Times New Roman"/>
          <w:szCs w:val="26"/>
          <w:shd w:val="clear" w:color="auto" w:fill="FFFFFF"/>
        </w:rPr>
        <w:t xml:space="preserve"> Trong bối cảnh hộ</w:t>
      </w:r>
      <w:r w:rsidR="00EF33AD" w:rsidRPr="00850805">
        <w:rPr>
          <w:rFonts w:cs="Times New Roman"/>
          <w:szCs w:val="26"/>
          <w:shd w:val="clear" w:color="auto" w:fill="FFFFFF"/>
        </w:rPr>
        <w:t>i</w:t>
      </w:r>
      <w:r w:rsidRPr="00850805">
        <w:rPr>
          <w:rFonts w:cs="Times New Roman"/>
          <w:szCs w:val="26"/>
          <w:shd w:val="clear" w:color="auto" w:fill="FFFFFF"/>
        </w:rPr>
        <w:t xml:space="preserve"> nhập kinh tế quốc tế, đặc biệt là sau khi ký kết những hiệp định thương mại quan trọng như Hiệp định Đối tác xuyên Thái Bình Dương (TPP), Hiệp định Thương mại Tự do Việt Nam-EU, Việt Nam không thể nằm ngoài xu hướng chung của các quốc gia trên thế giới về phát triển thị trường </w:t>
      </w:r>
      <w:r w:rsidR="00282342">
        <w:rPr>
          <w:rFonts w:cs="Times New Roman"/>
          <w:szCs w:val="26"/>
          <w:shd w:val="clear" w:color="auto" w:fill="FFFFFF"/>
        </w:rPr>
        <w:t>SPX</w:t>
      </w:r>
      <w:r w:rsidRPr="00850805">
        <w:rPr>
          <w:rFonts w:cs="Times New Roman"/>
          <w:szCs w:val="26"/>
          <w:shd w:val="clear" w:color="auto" w:fill="FFFFFF"/>
        </w:rPr>
        <w:t xml:space="preserve">. </w:t>
      </w:r>
      <w:proofErr w:type="gramStart"/>
      <w:r w:rsidRPr="00850805">
        <w:rPr>
          <w:rFonts w:cs="Times New Roman"/>
          <w:szCs w:val="26"/>
          <w:shd w:val="clear" w:color="auto" w:fill="FFFFFF"/>
        </w:rPr>
        <w:t xml:space="preserve">Đẩy mạnh tiêu dùng và sản xuất </w:t>
      </w:r>
      <w:r w:rsidR="00282342">
        <w:rPr>
          <w:rFonts w:cs="Times New Roman"/>
          <w:szCs w:val="26"/>
          <w:shd w:val="clear" w:color="auto" w:fill="FFFFFF"/>
        </w:rPr>
        <w:t>SPX</w:t>
      </w:r>
      <w:r w:rsidRPr="00850805">
        <w:rPr>
          <w:rFonts w:cs="Times New Roman"/>
          <w:szCs w:val="26"/>
          <w:shd w:val="clear" w:color="auto" w:fill="FFFFFF"/>
        </w:rPr>
        <w:t>, thân thiện với môi trường nhằm phục vụ thị trường trong nước và hướng tới xuất khẩu ra thị trường khu vực và thế giới là yêu cầu và thách thức nhưng cũng là cơ hội phát triển của Việt Nam trong giai đoạn tới.</w:t>
      </w:r>
      <w:proofErr w:type="gramEnd"/>
    </w:p>
    <w:p w:rsidR="00765900" w:rsidRPr="00850805" w:rsidRDefault="00765900" w:rsidP="00850805">
      <w:pPr>
        <w:spacing w:before="120" w:after="120" w:line="340" w:lineRule="exact"/>
        <w:ind w:firstLine="720"/>
        <w:rPr>
          <w:rFonts w:cs="Times New Roman"/>
          <w:szCs w:val="26"/>
          <w:shd w:val="clear" w:color="auto" w:fill="FFFFFF"/>
        </w:rPr>
      </w:pPr>
      <w:r w:rsidRPr="00850805">
        <w:rPr>
          <w:rFonts w:cs="Times New Roman"/>
          <w:szCs w:val="26"/>
          <w:shd w:val="clear" w:color="auto" w:fill="FFFFFF"/>
        </w:rPr>
        <w:t xml:space="preserve">Để phát triển thị trường và tiêu dùng </w:t>
      </w:r>
      <w:r w:rsidR="00282342">
        <w:rPr>
          <w:rFonts w:cs="Times New Roman"/>
          <w:szCs w:val="26"/>
          <w:shd w:val="clear" w:color="auto" w:fill="FFFFFF"/>
        </w:rPr>
        <w:t>SPX</w:t>
      </w:r>
      <w:r w:rsidRPr="00850805">
        <w:rPr>
          <w:rFonts w:cs="Times New Roman"/>
          <w:szCs w:val="26"/>
          <w:shd w:val="clear" w:color="auto" w:fill="FFFFFF"/>
        </w:rPr>
        <w:t xml:space="preserve">, </w:t>
      </w:r>
      <w:r w:rsidR="00FF672D" w:rsidRPr="00850805">
        <w:rPr>
          <w:rFonts w:cs="Times New Roman"/>
          <w:szCs w:val="26"/>
          <w:shd w:val="clear" w:color="auto" w:fill="FFFFFF"/>
        </w:rPr>
        <w:t>MSC</w:t>
      </w:r>
      <w:r w:rsidRPr="00850805">
        <w:rPr>
          <w:rFonts w:cs="Times New Roman"/>
          <w:szCs w:val="26"/>
          <w:shd w:val="clear" w:color="auto" w:fill="FFFFFF"/>
        </w:rPr>
        <w:t xml:space="preserve"> đóng một vai trò quan trọng do tác động tràn của chi tiêu công đến nền kinh tế. </w:t>
      </w:r>
      <w:proofErr w:type="gramStart"/>
      <w:r w:rsidR="00A71052" w:rsidRPr="00850805">
        <w:rPr>
          <w:rFonts w:cs="Times New Roman"/>
          <w:szCs w:val="26"/>
          <w:shd w:val="clear" w:color="auto" w:fill="FFFFFF"/>
        </w:rPr>
        <w:t xml:space="preserve">MSCX </w:t>
      </w:r>
      <w:r w:rsidRPr="00850805">
        <w:rPr>
          <w:rFonts w:cs="Times New Roman"/>
          <w:szCs w:val="26"/>
          <w:shd w:val="clear" w:color="auto" w:fill="FFFFFF"/>
        </w:rPr>
        <w:t xml:space="preserve">sẽ </w:t>
      </w:r>
      <w:r w:rsidR="00A71052" w:rsidRPr="00850805">
        <w:rPr>
          <w:rFonts w:cs="Times New Roman"/>
          <w:szCs w:val="26"/>
          <w:shd w:val="clear" w:color="auto" w:fill="FFFFFF"/>
        </w:rPr>
        <w:t xml:space="preserve">góp phần </w:t>
      </w:r>
      <w:r w:rsidRPr="00850805">
        <w:rPr>
          <w:rFonts w:cs="Times New Roman"/>
          <w:szCs w:val="26"/>
          <w:shd w:val="clear" w:color="auto" w:fill="FFFFFF"/>
        </w:rPr>
        <w:t>làm giảm những tác động ngoại ứng tiêu cực của tiêu dùng đến môi trường thông qua việc khuyến khích mua sắm những sản phẩm thân thiện với môi trường và tiết kiệm năng lượng.</w:t>
      </w:r>
      <w:proofErr w:type="gramEnd"/>
      <w:r w:rsidRPr="00850805">
        <w:rPr>
          <w:rFonts w:cs="Times New Roman"/>
          <w:szCs w:val="26"/>
          <w:shd w:val="clear" w:color="auto" w:fill="FFFFFF"/>
        </w:rPr>
        <w:t xml:space="preserve"> </w:t>
      </w:r>
      <w:r w:rsidR="00A71052" w:rsidRPr="00850805">
        <w:rPr>
          <w:rFonts w:cs="Times New Roman"/>
          <w:szCs w:val="26"/>
          <w:shd w:val="clear" w:color="auto" w:fill="FFFFFF"/>
        </w:rPr>
        <w:t>MSC</w:t>
      </w:r>
      <w:r w:rsidRPr="00850805">
        <w:rPr>
          <w:rFonts w:cs="Times New Roman"/>
          <w:szCs w:val="26"/>
          <w:shd w:val="clear" w:color="auto" w:fill="FFFFFF"/>
        </w:rPr>
        <w:t xml:space="preserve"> chịu sự quản lý và điều chỉnh trực tiếp của chính phủ sẽ đóng vai trò tiên phong trong việc thúc đẩy tiêu dùng xanh trong toàn bộ nền kinh tế nói </w:t>
      </w:r>
      <w:proofErr w:type="gramStart"/>
      <w:r w:rsidRPr="00850805">
        <w:rPr>
          <w:rFonts w:cs="Times New Roman"/>
          <w:szCs w:val="26"/>
          <w:shd w:val="clear" w:color="auto" w:fill="FFFFFF"/>
        </w:rPr>
        <w:t>chung</w:t>
      </w:r>
      <w:proofErr w:type="gramEnd"/>
      <w:r w:rsidRPr="00850805">
        <w:rPr>
          <w:rFonts w:cs="Times New Roman"/>
          <w:szCs w:val="26"/>
          <w:shd w:val="clear" w:color="auto" w:fill="FFFFFF"/>
        </w:rPr>
        <w:t xml:space="preserve">. </w:t>
      </w:r>
      <w:r w:rsidR="00A71052" w:rsidRPr="00850805">
        <w:rPr>
          <w:rFonts w:cs="Times New Roman"/>
          <w:szCs w:val="26"/>
          <w:shd w:val="clear" w:color="auto" w:fill="FFFFFF"/>
        </w:rPr>
        <w:t xml:space="preserve"> </w:t>
      </w:r>
    </w:p>
    <w:p w:rsidR="00765900" w:rsidRPr="00850805" w:rsidRDefault="00765900" w:rsidP="00850805">
      <w:pPr>
        <w:spacing w:before="120" w:after="120" w:line="340" w:lineRule="exact"/>
        <w:ind w:firstLine="720"/>
        <w:rPr>
          <w:rFonts w:cs="Times New Roman"/>
          <w:szCs w:val="26"/>
          <w:shd w:val="clear" w:color="auto" w:fill="FFFFFF"/>
        </w:rPr>
      </w:pPr>
      <w:r w:rsidRPr="00850805">
        <w:rPr>
          <w:rFonts w:cs="Times New Roman"/>
          <w:szCs w:val="26"/>
          <w:shd w:val="clear" w:color="auto" w:fill="FFFFFF"/>
        </w:rPr>
        <w:lastRenderedPageBreak/>
        <w:t>Nhìn nhận vai trò quan trọng củ</w:t>
      </w:r>
      <w:r w:rsidR="00A71052" w:rsidRPr="00850805">
        <w:rPr>
          <w:rFonts w:cs="Times New Roman"/>
          <w:szCs w:val="26"/>
          <w:shd w:val="clear" w:color="auto" w:fill="FFFFFF"/>
        </w:rPr>
        <w:t>a MSCX</w:t>
      </w:r>
      <w:r w:rsidRPr="00850805">
        <w:rPr>
          <w:rFonts w:cs="Times New Roman"/>
          <w:szCs w:val="26"/>
          <w:shd w:val="clear" w:color="auto" w:fill="FFFFFF"/>
        </w:rPr>
        <w:t xml:space="preserve"> đối với việc phát triển thị trường </w:t>
      </w:r>
      <w:r w:rsidR="00282342">
        <w:rPr>
          <w:rFonts w:cs="Times New Roman"/>
          <w:szCs w:val="26"/>
          <w:shd w:val="clear" w:color="auto" w:fill="FFFFFF"/>
        </w:rPr>
        <w:t>SPX</w:t>
      </w:r>
      <w:r w:rsidRPr="00850805">
        <w:rPr>
          <w:rFonts w:cs="Times New Roman"/>
          <w:szCs w:val="26"/>
          <w:shd w:val="clear" w:color="auto" w:fill="FFFFFF"/>
        </w:rPr>
        <w:t xml:space="preserve"> nói riêng và chiến lược phát triển bền vững nói </w:t>
      </w:r>
      <w:proofErr w:type="gramStart"/>
      <w:r w:rsidRPr="00850805">
        <w:rPr>
          <w:rFonts w:cs="Times New Roman"/>
          <w:szCs w:val="26"/>
          <w:shd w:val="clear" w:color="auto" w:fill="FFFFFF"/>
        </w:rPr>
        <w:t>chung</w:t>
      </w:r>
      <w:proofErr w:type="gramEnd"/>
      <w:r w:rsidRPr="00850805">
        <w:rPr>
          <w:rFonts w:cs="Times New Roman"/>
          <w:szCs w:val="26"/>
          <w:shd w:val="clear" w:color="auto" w:fill="FFFFFF"/>
        </w:rPr>
        <w:t>, nghiên cứu này hướng tới việc đưa ra những</w:t>
      </w:r>
      <w:r w:rsidR="00A71052" w:rsidRPr="00850805">
        <w:rPr>
          <w:rFonts w:cs="Times New Roman"/>
          <w:szCs w:val="26"/>
          <w:shd w:val="clear" w:color="auto" w:fill="FFFFFF"/>
        </w:rPr>
        <w:t xml:space="preserve"> khuyến nghị chính sách nhằm góp phần thúc đẩy việc </w:t>
      </w:r>
      <w:r w:rsidRPr="00850805">
        <w:rPr>
          <w:rFonts w:cs="Times New Roman"/>
          <w:szCs w:val="26"/>
          <w:shd w:val="clear" w:color="auto" w:fill="FFFFFF"/>
        </w:rPr>
        <w:t xml:space="preserve">thực hiện </w:t>
      </w:r>
      <w:r w:rsidR="00A71052" w:rsidRPr="00850805">
        <w:rPr>
          <w:rFonts w:cs="Times New Roman"/>
          <w:szCs w:val="26"/>
          <w:shd w:val="clear" w:color="auto" w:fill="FFFFFF"/>
        </w:rPr>
        <w:t>MSCX</w:t>
      </w:r>
      <w:r w:rsidRPr="00850805">
        <w:rPr>
          <w:rFonts w:cs="Times New Roman"/>
          <w:szCs w:val="26"/>
          <w:shd w:val="clear" w:color="auto" w:fill="FFFFFF"/>
        </w:rPr>
        <w:t xml:space="preserve"> tại Việt Nam. </w:t>
      </w:r>
      <w:proofErr w:type="gramStart"/>
      <w:r w:rsidRPr="00850805">
        <w:rPr>
          <w:rFonts w:cs="Times New Roman"/>
          <w:szCs w:val="26"/>
          <w:shd w:val="clear" w:color="auto" w:fill="FFFFFF"/>
        </w:rPr>
        <w:t xml:space="preserve">Những khuyến nghị </w:t>
      </w:r>
      <w:r w:rsidR="00A71052" w:rsidRPr="00850805">
        <w:rPr>
          <w:rFonts w:cs="Times New Roman"/>
          <w:szCs w:val="26"/>
          <w:shd w:val="clear" w:color="auto" w:fill="FFFFFF"/>
        </w:rPr>
        <w:t>này</w:t>
      </w:r>
      <w:r w:rsidRPr="00850805">
        <w:rPr>
          <w:rFonts w:cs="Times New Roman"/>
          <w:szCs w:val="26"/>
          <w:shd w:val="clear" w:color="auto" w:fill="FFFFFF"/>
        </w:rPr>
        <w:t xml:space="preserve"> được rút ra từ việc tổng hợp và phân tích cơ sở lý thuyết, thực trạng </w:t>
      </w:r>
      <w:r w:rsidR="00FC723F">
        <w:rPr>
          <w:rFonts w:cs="Times New Roman"/>
          <w:szCs w:val="26"/>
          <w:shd w:val="clear" w:color="auto" w:fill="FFFFFF"/>
        </w:rPr>
        <w:t>MSCX</w:t>
      </w:r>
      <w:r w:rsidRPr="00850805">
        <w:rPr>
          <w:rFonts w:cs="Times New Roman"/>
          <w:szCs w:val="26"/>
          <w:shd w:val="clear" w:color="auto" w:fill="FFFFFF"/>
        </w:rPr>
        <w:t xml:space="preserve"> ở Việ</w:t>
      </w:r>
      <w:r w:rsidR="00A71052" w:rsidRPr="00850805">
        <w:rPr>
          <w:rFonts w:cs="Times New Roman"/>
          <w:szCs w:val="26"/>
          <w:shd w:val="clear" w:color="auto" w:fill="FFFFFF"/>
        </w:rPr>
        <w:t xml:space="preserve">t Nam, </w:t>
      </w:r>
      <w:r w:rsidRPr="00850805">
        <w:rPr>
          <w:rFonts w:cs="Times New Roman"/>
          <w:szCs w:val="26"/>
          <w:shd w:val="clear" w:color="auto" w:fill="FFFFFF"/>
        </w:rPr>
        <w:t xml:space="preserve">cũng như kinh nghiệm quốc tế </w:t>
      </w:r>
      <w:r w:rsidR="00A71052" w:rsidRPr="00850805">
        <w:rPr>
          <w:rFonts w:cs="Times New Roman"/>
          <w:szCs w:val="26"/>
          <w:shd w:val="clear" w:color="auto" w:fill="FFFFFF"/>
        </w:rPr>
        <w:t>về MSCX</w:t>
      </w:r>
      <w:r w:rsidRPr="00850805">
        <w:rPr>
          <w:rFonts w:cs="Times New Roman"/>
          <w:szCs w:val="26"/>
          <w:shd w:val="clear" w:color="auto" w:fill="FFFFFF"/>
        </w:rPr>
        <w:t>.</w:t>
      </w:r>
      <w:proofErr w:type="gramEnd"/>
      <w:r w:rsidRPr="00850805">
        <w:rPr>
          <w:rFonts w:cs="Times New Roman"/>
          <w:szCs w:val="26"/>
          <w:shd w:val="clear" w:color="auto" w:fill="FFFFFF"/>
        </w:rPr>
        <w:t xml:space="preserve"> </w:t>
      </w:r>
    </w:p>
    <w:p w:rsidR="000157D1" w:rsidRPr="00850805" w:rsidRDefault="000157D1" w:rsidP="00850805">
      <w:pPr>
        <w:spacing w:before="120" w:after="120" w:line="340" w:lineRule="exact"/>
        <w:rPr>
          <w:rFonts w:cs="Times New Roman"/>
          <w:szCs w:val="26"/>
          <w:shd w:val="clear" w:color="auto" w:fill="FFFFFF"/>
        </w:rPr>
      </w:pPr>
      <w:r w:rsidRPr="00D46673">
        <w:rPr>
          <w:rFonts w:cs="Times New Roman"/>
          <w:b/>
          <w:szCs w:val="26"/>
          <w:shd w:val="clear" w:color="auto" w:fill="FFFFFF"/>
        </w:rPr>
        <w:t>2.</w:t>
      </w:r>
      <w:r w:rsidRPr="00850805">
        <w:rPr>
          <w:rFonts w:cs="Times New Roman"/>
          <w:szCs w:val="26"/>
          <w:shd w:val="clear" w:color="auto" w:fill="FFFFFF"/>
        </w:rPr>
        <w:t xml:space="preserve"> </w:t>
      </w:r>
      <w:r w:rsidR="00AC34BD" w:rsidRPr="00850805">
        <w:rPr>
          <w:rFonts w:cs="Times New Roman"/>
          <w:b/>
          <w:szCs w:val="26"/>
          <w:shd w:val="clear" w:color="auto" w:fill="FFFFFF"/>
          <w:lang w:val="vi-VN"/>
        </w:rPr>
        <w:t xml:space="preserve">Kinh nghiệm </w:t>
      </w:r>
      <w:r w:rsidR="006E3B08" w:rsidRPr="00850805">
        <w:rPr>
          <w:rFonts w:cs="Times New Roman"/>
          <w:b/>
          <w:szCs w:val="26"/>
          <w:shd w:val="clear" w:color="auto" w:fill="FFFFFF"/>
        </w:rPr>
        <w:t>của Nhật Bản</w:t>
      </w:r>
      <w:r w:rsidR="00AC34BD" w:rsidRPr="00850805">
        <w:rPr>
          <w:rFonts w:cs="Times New Roman"/>
          <w:b/>
          <w:szCs w:val="26"/>
          <w:shd w:val="clear" w:color="auto" w:fill="FFFFFF"/>
          <w:lang w:val="vi-VN"/>
        </w:rPr>
        <w:t xml:space="preserve"> về mua sắm công xanh</w:t>
      </w:r>
    </w:p>
    <w:p w:rsidR="00D06CBB" w:rsidRPr="00850805" w:rsidRDefault="00AC34BD" w:rsidP="00850805">
      <w:pPr>
        <w:spacing w:before="120" w:after="120" w:line="340" w:lineRule="exact"/>
        <w:ind w:firstLine="720"/>
        <w:rPr>
          <w:rFonts w:cs="Times New Roman"/>
          <w:szCs w:val="26"/>
          <w:shd w:val="clear" w:color="auto" w:fill="FFFFFF"/>
        </w:rPr>
      </w:pPr>
      <w:r w:rsidRPr="00850805">
        <w:rPr>
          <w:rFonts w:cs="Times New Roman"/>
          <w:szCs w:val="26"/>
          <w:shd w:val="clear" w:color="auto" w:fill="FFFFFF"/>
          <w:lang w:val="vi-VN"/>
        </w:rPr>
        <w:t>Nhật Bản là một trong những quốc gia đi đầu trong phong trào bảo vệ môi trường nói chung và “</w:t>
      </w:r>
      <w:r w:rsidR="007F1783">
        <w:rPr>
          <w:rFonts w:cs="Times New Roman"/>
          <w:szCs w:val="26"/>
          <w:shd w:val="clear" w:color="auto" w:fill="FFFFFF"/>
          <w:lang w:val="vi-VN"/>
        </w:rPr>
        <w:t>MSX</w:t>
      </w:r>
      <w:r w:rsidRPr="00850805">
        <w:rPr>
          <w:rFonts w:cs="Times New Roman"/>
          <w:szCs w:val="26"/>
          <w:shd w:val="clear" w:color="auto" w:fill="FFFFFF"/>
          <w:lang w:val="vi-VN"/>
        </w:rPr>
        <w:t>” nói riêng. Tháng 5/2000, chính phủ Nhật Bản đã ban hành “Luật khuyến khích mua hàng và dịch vụ xanh”, và có hiệu lực vào tháng 5/2001.</w:t>
      </w:r>
      <w:r w:rsidR="007F1783">
        <w:rPr>
          <w:rFonts w:cs="Times New Roman"/>
          <w:szCs w:val="26"/>
          <w:shd w:val="clear" w:color="auto" w:fill="FFFFFF"/>
        </w:rPr>
        <w:t xml:space="preserve"> Cũng trong n</w:t>
      </w:r>
      <w:r w:rsidRPr="00850805">
        <w:rPr>
          <w:rFonts w:cs="Times New Roman"/>
          <w:szCs w:val="26"/>
          <w:shd w:val="clear" w:color="auto" w:fill="FFFFFF"/>
          <w:lang w:val="vi-VN"/>
        </w:rPr>
        <w:t xml:space="preserve">ăm 2001, chính phủ Nhật Bản đã xác định hơn 250 sản phẩm </w:t>
      </w:r>
      <w:r w:rsidR="00D06CBB" w:rsidRPr="00850805">
        <w:rPr>
          <w:rFonts w:cs="Times New Roman"/>
          <w:szCs w:val="26"/>
          <w:shd w:val="clear" w:color="auto" w:fill="FFFFFF"/>
        </w:rPr>
        <w:t>MSX</w:t>
      </w:r>
      <w:r w:rsidRPr="00850805">
        <w:rPr>
          <w:rFonts w:cs="Times New Roman"/>
          <w:szCs w:val="26"/>
          <w:shd w:val="clear" w:color="auto" w:fill="FFFFFF"/>
          <w:lang w:val="vi-VN"/>
        </w:rPr>
        <w:t xml:space="preserve"> trong 19 loại sản phẩm. Để hướng dẫn việc mua hàng của chính phủ, chương trình </w:t>
      </w:r>
      <w:r w:rsidR="00D06CBB" w:rsidRPr="00850805">
        <w:rPr>
          <w:rFonts w:cs="Times New Roman"/>
          <w:szCs w:val="26"/>
          <w:shd w:val="clear" w:color="auto" w:fill="FFFFFF"/>
        </w:rPr>
        <w:t>MSCX</w:t>
      </w:r>
      <w:r w:rsidRPr="00850805">
        <w:rPr>
          <w:rFonts w:cs="Times New Roman"/>
          <w:szCs w:val="26"/>
          <w:shd w:val="clear" w:color="auto" w:fill="FFFFFF"/>
          <w:lang w:val="vi-VN"/>
        </w:rPr>
        <w:t xml:space="preserve"> của Nhật Bản đã thông qua các tiêu chí </w:t>
      </w:r>
      <w:r w:rsidR="00282342">
        <w:rPr>
          <w:rFonts w:cs="Times New Roman"/>
          <w:szCs w:val="26"/>
          <w:shd w:val="clear" w:color="auto" w:fill="FFFFFF"/>
        </w:rPr>
        <w:t>SPX</w:t>
      </w:r>
      <w:r w:rsidRPr="00850805">
        <w:rPr>
          <w:rFonts w:cs="Times New Roman"/>
          <w:szCs w:val="26"/>
          <w:shd w:val="clear" w:color="auto" w:fill="FFFFFF"/>
          <w:lang w:val="vi-VN"/>
        </w:rPr>
        <w:t xml:space="preserve"> từ các chương trình </w:t>
      </w:r>
      <w:r w:rsidR="00D06CBB" w:rsidRPr="00850805">
        <w:rPr>
          <w:rFonts w:cs="Times New Roman"/>
          <w:szCs w:val="26"/>
          <w:shd w:val="clear" w:color="auto" w:fill="FFFFFF"/>
        </w:rPr>
        <w:t>nhãn sinh thái</w:t>
      </w:r>
      <w:r w:rsidRPr="00850805">
        <w:rPr>
          <w:rFonts w:cs="Times New Roman"/>
          <w:szCs w:val="26"/>
          <w:shd w:val="clear" w:color="auto" w:fill="FFFFFF"/>
          <w:lang w:val="vi-VN"/>
        </w:rPr>
        <w:t xml:space="preserve">, </w:t>
      </w:r>
      <w:r w:rsidR="00D06CBB" w:rsidRPr="00850805">
        <w:rPr>
          <w:rFonts w:cs="Times New Roman"/>
          <w:szCs w:val="26"/>
          <w:shd w:val="clear" w:color="auto" w:fill="FFFFFF"/>
        </w:rPr>
        <w:t>ngôi sao năng lượng</w:t>
      </w:r>
      <w:r w:rsidRPr="00850805">
        <w:rPr>
          <w:rFonts w:cs="Times New Roman"/>
          <w:szCs w:val="26"/>
          <w:shd w:val="clear" w:color="auto" w:fill="FFFFFF"/>
          <w:lang w:val="vi-VN"/>
        </w:rPr>
        <w:t xml:space="preserve"> và các tiêu chuẩn và cơ sở dữ liệ</w:t>
      </w:r>
      <w:r w:rsidR="00D06CBB" w:rsidRPr="00850805">
        <w:rPr>
          <w:rFonts w:cs="Times New Roman"/>
          <w:szCs w:val="26"/>
          <w:shd w:val="clear" w:color="auto" w:fill="FFFFFF"/>
          <w:lang w:val="vi-VN"/>
        </w:rPr>
        <w:t>u khác</w:t>
      </w:r>
      <w:r w:rsidRPr="00850805">
        <w:rPr>
          <w:rFonts w:cs="Times New Roman"/>
          <w:szCs w:val="26"/>
          <w:shd w:val="clear" w:color="auto" w:fill="FFFFFF"/>
          <w:lang w:val="vi-VN"/>
        </w:rPr>
        <w:t xml:space="preserve">. Thêm vào đó, cũng vào năm 2007 chính phủ Nhật Bản đã ban hành “Luật Hợp đồng </w:t>
      </w:r>
      <w:r w:rsidR="00D06CBB" w:rsidRPr="00850805">
        <w:rPr>
          <w:rFonts w:cs="Times New Roman"/>
          <w:szCs w:val="26"/>
          <w:shd w:val="clear" w:color="auto" w:fill="FFFFFF"/>
        </w:rPr>
        <w:t>x</w:t>
      </w:r>
      <w:r w:rsidRPr="00850805">
        <w:rPr>
          <w:rFonts w:cs="Times New Roman"/>
          <w:szCs w:val="26"/>
          <w:shd w:val="clear" w:color="auto" w:fill="FFFFFF"/>
          <w:lang w:val="vi-VN"/>
        </w:rPr>
        <w:t xml:space="preserve">anh” nhằm thúc đẩy ký kết các hợp đồng giảm thiểu phát thải khí nhà kính. Mặc dù Luật Hợp đồng Xanh tập trung vào việc giảm khí thải nhà kính từ sản xuất và cung cấp sản phẩm và dịch vụ cụ thể, Luật này bổ sung Luật Thúc đẩy mua hàng xanh trong việc xây dựng khuôn khổ pháp lý của Nhật Bản trong </w:t>
      </w:r>
      <w:r w:rsidR="00FC723F">
        <w:rPr>
          <w:rFonts w:cs="Times New Roman"/>
          <w:szCs w:val="26"/>
          <w:shd w:val="clear" w:color="auto" w:fill="FFFFFF"/>
          <w:lang w:val="vi-VN"/>
        </w:rPr>
        <w:t>MSCX</w:t>
      </w:r>
      <w:r w:rsidRPr="00850805">
        <w:rPr>
          <w:rFonts w:cs="Times New Roman"/>
          <w:szCs w:val="26"/>
          <w:shd w:val="clear" w:color="auto" w:fill="FFFFFF"/>
          <w:lang w:val="vi-VN"/>
        </w:rPr>
        <w:t xml:space="preserve">. Và khi kết hợp với chương trình </w:t>
      </w:r>
      <w:r w:rsidR="00D06CBB" w:rsidRPr="00850805">
        <w:rPr>
          <w:rFonts w:cs="Times New Roman"/>
          <w:szCs w:val="26"/>
          <w:shd w:val="clear" w:color="auto" w:fill="FFFFFF"/>
        </w:rPr>
        <w:t>nhãn sinh thái</w:t>
      </w:r>
      <w:r w:rsidRPr="00850805">
        <w:rPr>
          <w:rFonts w:cs="Times New Roman"/>
          <w:szCs w:val="26"/>
          <w:shd w:val="clear" w:color="auto" w:fill="FFFFFF"/>
          <w:lang w:val="vi-VN"/>
        </w:rPr>
        <w:t xml:space="preserve"> và mạng lưới </w:t>
      </w:r>
      <w:r w:rsidR="007F1783">
        <w:rPr>
          <w:rFonts w:cs="Times New Roman"/>
          <w:szCs w:val="26"/>
          <w:shd w:val="clear" w:color="auto" w:fill="FFFFFF"/>
          <w:lang w:val="vi-VN"/>
        </w:rPr>
        <w:t>MSX</w:t>
      </w:r>
      <w:r w:rsidRPr="00850805">
        <w:rPr>
          <w:rFonts w:cs="Times New Roman"/>
          <w:szCs w:val="26"/>
          <w:shd w:val="clear" w:color="auto" w:fill="FFFFFF"/>
          <w:lang w:val="vi-VN"/>
        </w:rPr>
        <w:t xml:space="preserve">, hai luật này cung cấp ưu đãi và kích thích trong việc </w:t>
      </w:r>
      <w:r w:rsidR="007F1783">
        <w:rPr>
          <w:rFonts w:cs="Times New Roman"/>
          <w:szCs w:val="26"/>
          <w:shd w:val="clear" w:color="auto" w:fill="FFFFFF"/>
          <w:lang w:val="vi-VN"/>
        </w:rPr>
        <w:t>MSX</w:t>
      </w:r>
      <w:r w:rsidRPr="00850805">
        <w:rPr>
          <w:rFonts w:cs="Times New Roman"/>
          <w:szCs w:val="26"/>
          <w:shd w:val="clear" w:color="auto" w:fill="FFFFFF"/>
          <w:lang w:val="vi-VN"/>
        </w:rPr>
        <w:t xml:space="preserve"> ở Nhật Bả</w:t>
      </w:r>
      <w:r w:rsidR="00D06CBB" w:rsidRPr="00850805">
        <w:rPr>
          <w:rFonts w:cs="Times New Roman"/>
          <w:szCs w:val="26"/>
          <w:shd w:val="clear" w:color="auto" w:fill="FFFFFF"/>
          <w:lang w:val="vi-VN"/>
        </w:rPr>
        <w:t>n.</w:t>
      </w:r>
    </w:p>
    <w:p w:rsidR="00D06CBB" w:rsidRPr="00850805" w:rsidRDefault="00D06CBB" w:rsidP="00850805">
      <w:pPr>
        <w:spacing w:before="120" w:after="120" w:line="340" w:lineRule="exact"/>
        <w:ind w:firstLine="720"/>
        <w:rPr>
          <w:rFonts w:cs="Times New Roman"/>
          <w:szCs w:val="26"/>
          <w:shd w:val="clear" w:color="auto" w:fill="FFFFFF"/>
        </w:rPr>
      </w:pPr>
      <w:r w:rsidRPr="00850805">
        <w:rPr>
          <w:rFonts w:cs="Times New Roman"/>
          <w:szCs w:val="26"/>
          <w:shd w:val="clear" w:color="auto" w:fill="FFFFFF"/>
        </w:rPr>
        <w:t>N</w:t>
      </w:r>
      <w:r w:rsidR="00AC34BD" w:rsidRPr="00850805">
        <w:rPr>
          <w:rFonts w:cs="Times New Roman"/>
          <w:szCs w:val="26"/>
          <w:shd w:val="clear" w:color="auto" w:fill="FFFFFF"/>
          <w:lang w:val="vi-VN"/>
        </w:rPr>
        <w:t xml:space="preserve">ăm 2009, chính phủ Nhật Bản đã giới thiệu hệ thống “Điểm môi trường”, như một phần của các biện pháp hỗ trợ phục hồi kinh tế và cung cấp các </w:t>
      </w:r>
      <w:r w:rsidR="00282342">
        <w:rPr>
          <w:rFonts w:cs="Times New Roman"/>
          <w:szCs w:val="26"/>
          <w:shd w:val="clear" w:color="auto" w:fill="FFFFFF"/>
          <w:lang w:val="vi-VN"/>
        </w:rPr>
        <w:t>SPX</w:t>
      </w:r>
      <w:r w:rsidR="00AC34BD" w:rsidRPr="00850805">
        <w:rPr>
          <w:rFonts w:cs="Times New Roman"/>
          <w:szCs w:val="26"/>
          <w:shd w:val="clear" w:color="auto" w:fill="FFFFFF"/>
          <w:lang w:val="vi-VN"/>
        </w:rPr>
        <w:t xml:space="preserve">. </w:t>
      </w:r>
      <w:proofErr w:type="gramStart"/>
      <w:r w:rsidR="007F1783">
        <w:rPr>
          <w:rFonts w:cs="Times New Roman"/>
          <w:szCs w:val="26"/>
          <w:shd w:val="clear" w:color="auto" w:fill="FFFFFF"/>
        </w:rPr>
        <w:t>Theo đó n</w:t>
      </w:r>
      <w:r w:rsidR="00AC34BD" w:rsidRPr="00850805">
        <w:rPr>
          <w:rFonts w:cs="Times New Roman"/>
          <w:szCs w:val="26"/>
          <w:shd w:val="clear" w:color="auto" w:fill="FFFFFF"/>
          <w:lang w:val="vi-VN"/>
        </w:rPr>
        <w:t>gười tiêu dùng mua thiết bị gia dụng điện tiết kiệm năng lượng cao sẽ nhận được điểm môi trường.</w:t>
      </w:r>
      <w:proofErr w:type="gramEnd"/>
      <w:r w:rsidR="00AC34BD" w:rsidRPr="00850805">
        <w:rPr>
          <w:rFonts w:cs="Times New Roman"/>
          <w:szCs w:val="26"/>
          <w:shd w:val="clear" w:color="auto" w:fill="FFFFFF"/>
          <w:lang w:val="vi-VN"/>
        </w:rPr>
        <w:t xml:space="preserve"> Các điểm này có thể được sử dụng để mua các phiếu quà tặng, sản phẩm địa phương hoặc các </w:t>
      </w:r>
      <w:r w:rsidR="00282342">
        <w:rPr>
          <w:rFonts w:cs="Times New Roman"/>
          <w:szCs w:val="26"/>
          <w:shd w:val="clear" w:color="auto" w:fill="FFFFFF"/>
          <w:lang w:val="vi-VN"/>
        </w:rPr>
        <w:t>SPX</w:t>
      </w:r>
      <w:r w:rsidR="00AC34BD" w:rsidRPr="00850805">
        <w:rPr>
          <w:rFonts w:cs="Times New Roman"/>
          <w:szCs w:val="26"/>
          <w:shd w:val="clear" w:color="auto" w:fill="FFFFFF"/>
          <w:lang w:val="vi-VN"/>
        </w:rPr>
        <w:t xml:space="preserve">. </w:t>
      </w:r>
      <w:r w:rsidRPr="00850805">
        <w:rPr>
          <w:rFonts w:cs="Times New Roman"/>
          <w:szCs w:val="26"/>
          <w:shd w:val="clear" w:color="auto" w:fill="FFFFFF"/>
        </w:rPr>
        <w:t xml:space="preserve">Năm 2009, </w:t>
      </w:r>
      <w:r w:rsidR="00AC34BD" w:rsidRPr="00850805">
        <w:rPr>
          <w:rFonts w:cs="Times New Roman"/>
          <w:szCs w:val="26"/>
          <w:shd w:val="clear" w:color="auto" w:fill="FFFFFF"/>
          <w:lang w:val="vi-VN"/>
        </w:rPr>
        <w:t xml:space="preserve">Bộ Kinh tế, Thương mại và Công nghiệp Nhật Bản đã đưa ra khái niệm “dấu ấn carbon” và đã thu hút sự quan tâm trên toàn thế giới. Năm 2010, danh mục sản phẩm có hiển thị biểu tượng dấu ấn carbon đã được đưa ra, bao gồm 45 loại - với 94 sản phẩm. </w:t>
      </w:r>
    </w:p>
    <w:p w:rsidR="00AC34BD" w:rsidRPr="00850805" w:rsidRDefault="00AC34BD" w:rsidP="00850805">
      <w:pPr>
        <w:spacing w:before="120" w:after="120" w:line="340" w:lineRule="exact"/>
        <w:ind w:firstLine="720"/>
        <w:rPr>
          <w:rFonts w:cs="Times New Roman"/>
          <w:szCs w:val="26"/>
          <w:shd w:val="clear" w:color="auto" w:fill="FFFFFF"/>
        </w:rPr>
      </w:pPr>
      <w:r w:rsidRPr="00850805">
        <w:rPr>
          <w:rFonts w:cs="Times New Roman"/>
          <w:szCs w:val="26"/>
          <w:shd w:val="clear" w:color="auto" w:fill="FFFFFF"/>
          <w:lang w:val="vi-VN"/>
        </w:rPr>
        <w:t xml:space="preserve">Năm 2010, các doanh nghiệp xanh Nhật Bản đã thành lập “Liên đoàn Doanh nghiệp </w:t>
      </w:r>
      <w:r w:rsidR="00D06CBB" w:rsidRPr="00850805">
        <w:rPr>
          <w:rFonts w:cs="Times New Roman"/>
          <w:szCs w:val="26"/>
          <w:shd w:val="clear" w:color="auto" w:fill="FFFFFF"/>
        </w:rPr>
        <w:t>x</w:t>
      </w:r>
      <w:r w:rsidRPr="00850805">
        <w:rPr>
          <w:rFonts w:cs="Times New Roman"/>
          <w:szCs w:val="26"/>
          <w:shd w:val="clear" w:color="auto" w:fill="FFFFFF"/>
          <w:lang w:val="vi-VN"/>
        </w:rPr>
        <w:t xml:space="preserve">anh Nhật Bản” như một nền tảng kinh doanh xanh nhằm:  Kích hoạt các cộng đồng địa phương thông qua các doanh nghiệp xanh; Hỗ trợ doanh nghiệp nhỏ trong việc phát triển các doanh nghiệp xanh; Tạo công ăn việc làm cho người già và người tàn tật; Thúc đẩy sự đổi mới sinh thái; Tổ chức mạng lưới thúc đẩy kinh doanh xanh; và </w:t>
      </w:r>
      <w:r w:rsidR="00323E13" w:rsidRPr="00850805">
        <w:rPr>
          <w:rFonts w:cs="Times New Roman"/>
          <w:szCs w:val="26"/>
          <w:shd w:val="clear" w:color="auto" w:fill="FFFFFF"/>
        </w:rPr>
        <w:t>đ</w:t>
      </w:r>
      <w:r w:rsidRPr="00850805">
        <w:rPr>
          <w:rFonts w:cs="Times New Roman"/>
          <w:szCs w:val="26"/>
          <w:shd w:val="clear" w:color="auto" w:fill="FFFFFF"/>
          <w:lang w:val="vi-VN"/>
        </w:rPr>
        <w:t>ề xuất các chính sách môi trường cho các đảng chính trị cầm quyền để thúc đẩy các doanh nghiệp xanh.</w:t>
      </w:r>
      <w:r w:rsidR="00D06CBB" w:rsidRPr="00850805">
        <w:rPr>
          <w:rFonts w:cs="Times New Roman"/>
          <w:szCs w:val="26"/>
          <w:shd w:val="clear" w:color="auto" w:fill="FFFFFF"/>
        </w:rPr>
        <w:t xml:space="preserve"> </w:t>
      </w:r>
      <w:r w:rsidRPr="00850805">
        <w:rPr>
          <w:rFonts w:cs="Times New Roman"/>
          <w:szCs w:val="26"/>
          <w:shd w:val="clear" w:color="auto" w:fill="FFFFFF"/>
          <w:lang w:val="vi-VN"/>
        </w:rPr>
        <w:t xml:space="preserve">Các công ty Nhật Bản đã bắt đầu kết hợp các hoạt động về “carbon bù đắp” vào các sản phẩm và dịch vụ của họ như một phần của các hoạt động quan hệ công chúng của họ. </w:t>
      </w:r>
    </w:p>
    <w:p w:rsidR="00382717" w:rsidRPr="00850805" w:rsidRDefault="001F1592" w:rsidP="00850805">
      <w:pPr>
        <w:pStyle w:val="Heading2"/>
        <w:spacing w:before="120" w:after="120" w:line="340" w:lineRule="exact"/>
        <w:rPr>
          <w:rFonts w:ascii="Times New Roman" w:hAnsi="Times New Roman" w:cs="Times New Roman"/>
          <w:color w:val="auto"/>
        </w:rPr>
      </w:pPr>
      <w:r w:rsidRPr="00850805">
        <w:rPr>
          <w:rFonts w:ascii="Times New Roman" w:hAnsi="Times New Roman" w:cs="Times New Roman"/>
          <w:color w:val="auto"/>
        </w:rPr>
        <w:t>3</w:t>
      </w:r>
      <w:r w:rsidR="0053711A" w:rsidRPr="00850805">
        <w:rPr>
          <w:rFonts w:ascii="Times New Roman" w:hAnsi="Times New Roman" w:cs="Times New Roman"/>
          <w:color w:val="auto"/>
        </w:rPr>
        <w:t>. Thực trạng mua sắm công xanh ở Việt Nam</w:t>
      </w:r>
    </w:p>
    <w:p w:rsidR="00044216" w:rsidRPr="00850805" w:rsidRDefault="001F1592" w:rsidP="00850805">
      <w:pPr>
        <w:spacing w:before="120" w:after="120" w:line="340" w:lineRule="exact"/>
        <w:rPr>
          <w:rFonts w:cs="Times New Roman"/>
          <w:b/>
          <w:bCs/>
          <w:i/>
          <w:szCs w:val="26"/>
        </w:rPr>
      </w:pPr>
      <w:bookmarkStart w:id="1" w:name="_Toc463221940"/>
      <w:r w:rsidRPr="00850805">
        <w:rPr>
          <w:rFonts w:cs="Times New Roman"/>
          <w:b/>
          <w:bCs/>
          <w:i/>
          <w:szCs w:val="26"/>
        </w:rPr>
        <w:t>3</w:t>
      </w:r>
      <w:r w:rsidR="00044216" w:rsidRPr="00850805">
        <w:rPr>
          <w:rFonts w:cs="Times New Roman"/>
          <w:b/>
          <w:bCs/>
          <w:i/>
          <w:szCs w:val="26"/>
        </w:rPr>
        <w:t>.1. Cơ chế, tổ chức quản lý mua sắm công và mua sắm công xanh</w:t>
      </w:r>
      <w:bookmarkEnd w:id="1"/>
    </w:p>
    <w:p w:rsidR="00B3621A" w:rsidRPr="00850805" w:rsidRDefault="00044216" w:rsidP="00850805">
      <w:pPr>
        <w:spacing w:before="120" w:after="120" w:line="340" w:lineRule="exact"/>
        <w:ind w:firstLine="720"/>
        <w:rPr>
          <w:rFonts w:cs="Times New Roman"/>
          <w:szCs w:val="26"/>
        </w:rPr>
      </w:pPr>
      <w:proofErr w:type="gramStart"/>
      <w:r w:rsidRPr="00850805">
        <w:rPr>
          <w:rFonts w:cs="Times New Roman"/>
          <w:szCs w:val="26"/>
        </w:rPr>
        <w:lastRenderedPageBreak/>
        <w:t>Luật Đấu thầu số 61/2005/QH11 được xem như văn bản pháp lý cao nhất có quy định về việc MSC.</w:t>
      </w:r>
      <w:proofErr w:type="gramEnd"/>
      <w:r w:rsidRPr="00850805">
        <w:rPr>
          <w:rFonts w:cs="Times New Roman"/>
          <w:szCs w:val="26"/>
        </w:rPr>
        <w:t xml:space="preserve"> Luật này đã được chỉnh sửa, bổ sung vào tháng 11 năm 2013. Theo luật này, các cơ quan, tổ chức tham gia trong hệ thống MSC bao gồm: cơ quan nhà nước, tổ chức chính trị, tổ chức chính trị-xã hội, tổ chức chính trị-xã hội chuyên nghiệp, tổ chức xã hội, tổ chức xã hội chuyên nghiệp, lực lượng vũ trang nhân dân, đơn vị cung cấp dịch vụ công cộng độc lập, công ty và các doanh nghiệp nhà nước. </w:t>
      </w:r>
      <w:proofErr w:type="gramStart"/>
      <w:r w:rsidRPr="00850805">
        <w:rPr>
          <w:rFonts w:cs="Times New Roman"/>
          <w:szCs w:val="26"/>
        </w:rPr>
        <w:t xml:space="preserve">Theo Luật Đấu thầu, Bộ </w:t>
      </w:r>
      <w:r w:rsidR="00D06CBB" w:rsidRPr="00850805">
        <w:rPr>
          <w:rFonts w:cs="Times New Roman"/>
          <w:szCs w:val="26"/>
        </w:rPr>
        <w:t>Kế hoạch và Đầu tư</w:t>
      </w:r>
      <w:r w:rsidR="00BA1B42">
        <w:rPr>
          <w:rFonts w:cs="Times New Roman"/>
          <w:szCs w:val="26"/>
        </w:rPr>
        <w:t xml:space="preserve"> (KHĐT)</w:t>
      </w:r>
      <w:r w:rsidR="00D06CBB" w:rsidRPr="00850805">
        <w:rPr>
          <w:rFonts w:cs="Times New Roman"/>
          <w:szCs w:val="26"/>
        </w:rPr>
        <w:t xml:space="preserve"> </w:t>
      </w:r>
      <w:r w:rsidRPr="00850805">
        <w:rPr>
          <w:rFonts w:cs="Times New Roman"/>
          <w:szCs w:val="26"/>
        </w:rPr>
        <w:t>chịu trách nhiệm quản lý nhà nước tất cả các hoạt động mua sắm trên toàn quốc, bao gồm cả MSC.</w:t>
      </w:r>
      <w:proofErr w:type="gramEnd"/>
      <w:r w:rsidRPr="00850805">
        <w:rPr>
          <w:rFonts w:cs="Times New Roman"/>
          <w:szCs w:val="26"/>
        </w:rPr>
        <w:t xml:space="preserve"> </w:t>
      </w:r>
      <w:r w:rsidR="00B3621A" w:rsidRPr="00850805">
        <w:rPr>
          <w:rFonts w:cs="Times New Roman"/>
          <w:szCs w:val="26"/>
        </w:rPr>
        <w:t>Ngày 07 Tháng Tư năm 2009, B</w:t>
      </w:r>
      <w:r w:rsidRPr="00850805">
        <w:rPr>
          <w:rFonts w:cs="Times New Roman"/>
          <w:szCs w:val="26"/>
        </w:rPr>
        <w:t>ộ</w:t>
      </w:r>
      <w:r w:rsidR="00D06CBB" w:rsidRPr="00850805">
        <w:rPr>
          <w:rFonts w:cs="Times New Roman"/>
          <w:szCs w:val="26"/>
        </w:rPr>
        <w:t xml:space="preserve"> </w:t>
      </w:r>
      <w:r w:rsidR="00BA1B42">
        <w:rPr>
          <w:rFonts w:cs="Times New Roman"/>
          <w:szCs w:val="26"/>
        </w:rPr>
        <w:t>KHĐT</w:t>
      </w:r>
      <w:r w:rsidRPr="00850805">
        <w:rPr>
          <w:rFonts w:cs="Times New Roman"/>
          <w:szCs w:val="26"/>
        </w:rPr>
        <w:t xml:space="preserve"> đã ban hành QĐ số 438/QĐ-BKH chỉ định Cục Quản lý Đấu thầ</w:t>
      </w:r>
      <w:r w:rsidR="00B3621A" w:rsidRPr="00850805">
        <w:rPr>
          <w:rFonts w:cs="Times New Roman"/>
          <w:szCs w:val="26"/>
        </w:rPr>
        <w:t xml:space="preserve">u </w:t>
      </w:r>
      <w:r w:rsidRPr="00850805">
        <w:rPr>
          <w:rFonts w:cs="Times New Roman"/>
          <w:szCs w:val="26"/>
        </w:rPr>
        <w:t xml:space="preserve">quản lý trực tiếp của hoạt động mua sắm trên toàn quốc. </w:t>
      </w:r>
      <w:proofErr w:type="gramStart"/>
      <w:r w:rsidRPr="00850805">
        <w:rPr>
          <w:rFonts w:cs="Times New Roman"/>
          <w:szCs w:val="26"/>
        </w:rPr>
        <w:t xml:space="preserve">Theo đó, cơ quan này </w:t>
      </w:r>
      <w:r w:rsidR="00B3621A" w:rsidRPr="00850805">
        <w:rPr>
          <w:rFonts w:cs="Times New Roman"/>
          <w:szCs w:val="26"/>
        </w:rPr>
        <w:t xml:space="preserve">có </w:t>
      </w:r>
      <w:r w:rsidRPr="00850805">
        <w:rPr>
          <w:rFonts w:cs="Times New Roman"/>
          <w:szCs w:val="26"/>
        </w:rPr>
        <w:t>trách nhiệm tổ chức đào tạo cho các tổ chức MSC.</w:t>
      </w:r>
      <w:proofErr w:type="gramEnd"/>
      <w:r w:rsidRPr="00850805">
        <w:rPr>
          <w:rFonts w:cs="Times New Roman"/>
          <w:szCs w:val="26"/>
        </w:rPr>
        <w:t xml:space="preserve"> </w:t>
      </w:r>
    </w:p>
    <w:p w:rsidR="0051791A" w:rsidRPr="00850805" w:rsidRDefault="0051791A" w:rsidP="00850805">
      <w:pPr>
        <w:spacing w:before="120" w:after="120" w:line="340" w:lineRule="exact"/>
        <w:ind w:firstLine="720"/>
        <w:rPr>
          <w:rFonts w:cs="Times New Roman"/>
          <w:szCs w:val="26"/>
        </w:rPr>
      </w:pPr>
      <w:proofErr w:type="gramStart"/>
      <w:r w:rsidRPr="00850805">
        <w:rPr>
          <w:rFonts w:cs="Times New Roman"/>
          <w:szCs w:val="26"/>
          <w:shd w:val="clear" w:color="auto" w:fill="FFFFFF"/>
        </w:rPr>
        <w:t>Tuy nhiên, trong Luật Đấu thầu</w:t>
      </w:r>
      <w:r w:rsidR="0043618B" w:rsidRPr="00850805">
        <w:rPr>
          <w:rFonts w:cs="Times New Roman"/>
          <w:szCs w:val="26"/>
          <w:shd w:val="clear" w:color="auto" w:fill="FFFFFF"/>
        </w:rPr>
        <w:t>,</w:t>
      </w:r>
      <w:r w:rsidRPr="00850805">
        <w:rPr>
          <w:rFonts w:cs="Times New Roman"/>
          <w:szCs w:val="26"/>
          <w:shd w:val="clear" w:color="auto" w:fill="FFFFFF"/>
        </w:rPr>
        <w:t xml:space="preserve"> các tiêu chí bền vững không được coi là các tiêu chí chính để đánh giá nhà thầu.</w:t>
      </w:r>
      <w:proofErr w:type="gramEnd"/>
      <w:r w:rsidRPr="00850805">
        <w:rPr>
          <w:rFonts w:cs="Times New Roman"/>
          <w:szCs w:val="26"/>
          <w:shd w:val="clear" w:color="auto" w:fill="FFFFFF"/>
        </w:rPr>
        <w:t xml:space="preserve"> </w:t>
      </w:r>
      <w:proofErr w:type="gramStart"/>
      <w:r w:rsidRPr="00850805">
        <w:rPr>
          <w:rFonts w:cs="Times New Roman"/>
          <w:szCs w:val="26"/>
          <w:shd w:val="clear" w:color="auto" w:fill="FFFFFF"/>
        </w:rPr>
        <w:t>Theo kết quả nghiên cứu của UNEP</w:t>
      </w:r>
      <w:r w:rsidR="00B3621A" w:rsidRPr="00850805">
        <w:rPr>
          <w:rFonts w:cs="Times New Roman"/>
          <w:szCs w:val="26"/>
          <w:shd w:val="clear" w:color="auto" w:fill="FFFFFF"/>
        </w:rPr>
        <w:t xml:space="preserve"> </w:t>
      </w:r>
      <w:r w:rsidR="0043618B" w:rsidRPr="00850805">
        <w:rPr>
          <w:rFonts w:cs="Times New Roman"/>
          <w:szCs w:val="26"/>
          <w:shd w:val="clear" w:color="auto" w:fill="FFFFFF"/>
        </w:rPr>
        <w:t xml:space="preserve">năm 2015 </w:t>
      </w:r>
      <w:r w:rsidRPr="00850805">
        <w:rPr>
          <w:rFonts w:cs="Times New Roman"/>
          <w:szCs w:val="26"/>
          <w:shd w:val="clear" w:color="auto" w:fill="FFFFFF"/>
        </w:rPr>
        <w:t xml:space="preserve">cho thấy hiện chưa có một tiêu chí bền vững nào được lồng ghép vào quá trình đấu thầu </w:t>
      </w:r>
      <w:r w:rsidR="00B3621A" w:rsidRPr="00850805">
        <w:rPr>
          <w:rFonts w:cs="Times New Roman"/>
          <w:szCs w:val="26"/>
          <w:shd w:val="clear" w:color="auto" w:fill="FFFFFF"/>
        </w:rPr>
        <w:t>MSC</w:t>
      </w:r>
      <w:r w:rsidRPr="00850805">
        <w:rPr>
          <w:rFonts w:cs="Times New Roman"/>
          <w:szCs w:val="26"/>
          <w:shd w:val="clear" w:color="auto" w:fill="FFFFFF"/>
        </w:rPr>
        <w:t>.</w:t>
      </w:r>
      <w:proofErr w:type="gramEnd"/>
      <w:r w:rsidRPr="00850805">
        <w:rPr>
          <w:rFonts w:cs="Times New Roman"/>
          <w:szCs w:val="26"/>
          <w:shd w:val="clear" w:color="auto" w:fill="FFFFFF"/>
        </w:rPr>
        <w:t xml:space="preserve"> Các tiêu chí này phần lớn được lồng ghép dựa trên quan điểm cá nhân của cán bộ phụ trách mua sắm của cơ quan. Do vậy, những tiêu chí </w:t>
      </w:r>
      <w:r w:rsidR="0043618B" w:rsidRPr="00850805">
        <w:rPr>
          <w:rFonts w:cs="Times New Roman"/>
          <w:szCs w:val="26"/>
          <w:shd w:val="clear" w:color="auto" w:fill="FFFFFF"/>
        </w:rPr>
        <w:t>bền vững</w:t>
      </w:r>
      <w:r w:rsidRPr="00850805">
        <w:rPr>
          <w:rFonts w:cs="Times New Roman"/>
          <w:szCs w:val="26"/>
          <w:shd w:val="clear" w:color="auto" w:fill="FFFFFF"/>
        </w:rPr>
        <w:t xml:space="preserve"> không được sử dụng như những tiêu chí định lượng để đánh giá hồ sơ thầu cũng như lựa chọn nhà thầu, và cũng không được áp dụng để tính ưu đãi trong quá trình chấm thầu trong thực tế.</w:t>
      </w:r>
      <w:r w:rsidR="00B3621A" w:rsidRPr="00850805">
        <w:rPr>
          <w:rFonts w:cs="Times New Roman"/>
          <w:szCs w:val="26"/>
          <w:shd w:val="clear" w:color="auto" w:fill="FFFFFF"/>
        </w:rPr>
        <w:t xml:space="preserve"> </w:t>
      </w:r>
    </w:p>
    <w:p w:rsidR="00044216" w:rsidRPr="00850805" w:rsidRDefault="001F1592" w:rsidP="00850805">
      <w:pPr>
        <w:pStyle w:val="3"/>
        <w:spacing w:before="120" w:after="120" w:line="340" w:lineRule="exact"/>
        <w:rPr>
          <w:color w:val="auto"/>
        </w:rPr>
      </w:pPr>
      <w:bookmarkStart w:id="2" w:name="_Toc463221942"/>
      <w:r w:rsidRPr="00850805">
        <w:rPr>
          <w:color w:val="auto"/>
          <w:lang w:val="en-US"/>
        </w:rPr>
        <w:t>3.2</w:t>
      </w:r>
      <w:r w:rsidR="00044216" w:rsidRPr="00850805">
        <w:rPr>
          <w:color w:val="auto"/>
        </w:rPr>
        <w:t>. Các quy định pháp luật</w:t>
      </w:r>
      <w:r w:rsidR="00E247A2" w:rsidRPr="00850805">
        <w:rPr>
          <w:color w:val="auto"/>
          <w:lang w:val="en-US"/>
        </w:rPr>
        <w:t xml:space="preserve"> và chiến lược</w:t>
      </w:r>
      <w:r w:rsidR="00044216" w:rsidRPr="00850805">
        <w:rPr>
          <w:color w:val="auto"/>
        </w:rPr>
        <w:t xml:space="preserve"> liên quan đến mua sắm công xanh</w:t>
      </w:r>
      <w:bookmarkEnd w:id="2"/>
    </w:p>
    <w:p w:rsidR="00E247A2" w:rsidRPr="00850805" w:rsidRDefault="00CB4AE8" w:rsidP="00850805">
      <w:pPr>
        <w:shd w:val="clear" w:color="auto" w:fill="FFFFFF"/>
        <w:spacing w:before="120" w:after="120" w:line="340" w:lineRule="exact"/>
        <w:ind w:firstLine="720"/>
        <w:rPr>
          <w:rFonts w:cs="Times New Roman"/>
          <w:szCs w:val="26"/>
          <w:shd w:val="clear" w:color="auto" w:fill="FFFFFF"/>
        </w:rPr>
      </w:pPr>
      <w:r w:rsidRPr="00850805">
        <w:rPr>
          <w:rFonts w:cs="Times New Roman"/>
          <w:bCs/>
          <w:szCs w:val="26"/>
          <w:lang w:val="vi-VN"/>
        </w:rPr>
        <w:t>Đối với các quy định MSCX, hiện tại</w:t>
      </w:r>
      <w:r w:rsidRPr="00850805">
        <w:rPr>
          <w:rFonts w:cs="Times New Roman"/>
          <w:szCs w:val="26"/>
        </w:rPr>
        <w:t xml:space="preserve"> vẫn chưa ban hành Luật </w:t>
      </w:r>
      <w:r w:rsidR="007F1783">
        <w:rPr>
          <w:rFonts w:cs="Times New Roman"/>
          <w:szCs w:val="26"/>
        </w:rPr>
        <w:t>MSX</w:t>
      </w:r>
      <w:r w:rsidRPr="00850805">
        <w:rPr>
          <w:rFonts w:cs="Times New Roman"/>
          <w:szCs w:val="26"/>
        </w:rPr>
        <w:t>, do đó, vẫn chưa tạo được khung pháp lý hiệu quả cho các hoạt động mua sắm hướng tới bảo vệ môi trường của toàn bộ khu vực công. Tuy nhiên</w:t>
      </w:r>
      <w:r w:rsidR="007622B0" w:rsidRPr="00850805">
        <w:rPr>
          <w:rFonts w:cs="Times New Roman"/>
          <w:szCs w:val="26"/>
        </w:rPr>
        <w:t>,</w:t>
      </w:r>
      <w:r w:rsidRPr="00850805">
        <w:rPr>
          <w:rFonts w:cs="Times New Roman"/>
          <w:szCs w:val="26"/>
        </w:rPr>
        <w:t xml:space="preserve"> </w:t>
      </w:r>
      <w:r w:rsidR="007622B0" w:rsidRPr="00850805">
        <w:rPr>
          <w:rFonts w:eastAsia="Times New Roman" w:cs="Times New Roman"/>
          <w:szCs w:val="26"/>
          <w:lang w:eastAsia="vi-VN"/>
        </w:rPr>
        <w:t xml:space="preserve">các </w:t>
      </w:r>
      <w:r w:rsidR="0043618B" w:rsidRPr="00850805">
        <w:rPr>
          <w:rFonts w:eastAsia="Times New Roman" w:cs="Times New Roman"/>
          <w:szCs w:val="26"/>
          <w:lang w:eastAsia="vi-VN"/>
        </w:rPr>
        <w:t>quy định</w:t>
      </w:r>
      <w:r w:rsidRPr="00850805">
        <w:rPr>
          <w:rFonts w:cs="Times New Roman"/>
          <w:szCs w:val="26"/>
          <w:shd w:val="clear" w:color="auto" w:fill="FFFFFF"/>
        </w:rPr>
        <w:t xml:space="preserve"> liên quan đến tiêu dùng xanh, tiêu dùng bền vững đã được lồng ghép vào nhiều văn bản và chính sách của Đảng và Nhà nước, đặc biệt là trong giai đoạn 2010 trở lại đây.</w:t>
      </w:r>
      <w:r w:rsidR="007622B0" w:rsidRPr="00850805">
        <w:rPr>
          <w:rFonts w:cs="Times New Roman"/>
          <w:szCs w:val="26"/>
          <w:shd w:val="clear" w:color="auto" w:fill="FFFFFF"/>
        </w:rPr>
        <w:t xml:space="preserve"> Cụ thể: ngày 17 tháng 06 năm 2010, Quốc hội đã ban hành Luật 50/2010/QH12 về Sử dụng năng lượng tiết kiệm và hiệu quả, trong đó quy định rõ nhiệm vụ sử dụng năng lượng tiết kiệm và hiệu quả trong dự án đầu tư, cơ quan, đơn vị sử dụng ngân sách Nhà nước; </w:t>
      </w:r>
      <w:r w:rsidR="007622B0" w:rsidRPr="00850805">
        <w:rPr>
          <w:rFonts w:cs="Times New Roman"/>
          <w:szCs w:val="26"/>
          <w:lang w:val="vi-VN"/>
        </w:rPr>
        <w:t xml:space="preserve">Bộ trưởng </w:t>
      </w:r>
      <w:r w:rsidR="007622B0" w:rsidRPr="00850805">
        <w:rPr>
          <w:rFonts w:cs="Times New Roman"/>
          <w:szCs w:val="26"/>
        </w:rPr>
        <w:t>Bộ tài Chính</w:t>
      </w:r>
      <w:r w:rsidR="007622B0" w:rsidRPr="00850805">
        <w:rPr>
          <w:rFonts w:cs="Times New Roman"/>
          <w:szCs w:val="26"/>
          <w:lang w:val="vi-VN"/>
        </w:rPr>
        <w:t xml:space="preserve"> ban hành QĐ số 2183/QĐ-BTC ban hành </w:t>
      </w:r>
      <w:r w:rsidR="007622B0" w:rsidRPr="00850805">
        <w:rPr>
          <w:rFonts w:cs="Times New Roman"/>
          <w:szCs w:val="26"/>
          <w:shd w:val="clear" w:color="auto" w:fill="FFFFFF"/>
        </w:rPr>
        <w:t>kế hoạch hành động</w:t>
      </w:r>
      <w:r w:rsidR="007622B0" w:rsidRPr="00850805">
        <w:rPr>
          <w:rFonts w:cs="Times New Roman"/>
          <w:szCs w:val="26"/>
          <w:lang w:val="vi-VN"/>
        </w:rPr>
        <w:t xml:space="preserve"> của ngành tài chính thực hiện Chiến lược quốc gia về TTX đế</w:t>
      </w:r>
      <w:r w:rsidR="00E247A2" w:rsidRPr="00850805">
        <w:rPr>
          <w:rFonts w:cs="Times New Roman"/>
          <w:szCs w:val="26"/>
          <w:lang w:val="vi-VN"/>
        </w:rPr>
        <w:t>n năm 2020</w:t>
      </w:r>
      <w:r w:rsidR="00E247A2" w:rsidRPr="00850805">
        <w:rPr>
          <w:rFonts w:cs="Times New Roman"/>
          <w:szCs w:val="26"/>
        </w:rPr>
        <w:t xml:space="preserve">; </w:t>
      </w:r>
      <w:r w:rsidR="00522BE6" w:rsidRPr="00850805">
        <w:rPr>
          <w:rFonts w:cs="Times New Roman"/>
          <w:szCs w:val="26"/>
        </w:rPr>
        <w:t>Quyết định 68/2011/QĐ-TTg của Thủ tướng chính phủ Ban hành Danh mục phương tiện, thiết bị tiết kiệm năng lượng được trang bị, mua sắm đối với cơ quan, đơn vị sử dụng ngân sách nhà nước</w:t>
      </w:r>
      <w:r w:rsidR="00E247A2" w:rsidRPr="00850805">
        <w:rPr>
          <w:rFonts w:cs="Times New Roman"/>
          <w:szCs w:val="26"/>
        </w:rPr>
        <w:t xml:space="preserve">; </w:t>
      </w:r>
      <w:r w:rsidR="00522BE6" w:rsidRPr="00850805">
        <w:rPr>
          <w:rFonts w:cs="Times New Roman"/>
          <w:szCs w:val="26"/>
          <w:shd w:val="clear" w:color="auto" w:fill="FFFFFF"/>
        </w:rPr>
        <w:t>Luật bảo vệ môi trường số 55/2014/QH13 đã quy định người đứng đầu cơ quan, đơn vị sử dụng ngân sách nhà nước có trách nhiệm ưu tiên sử dụng sản phẩm, dịch vụ thân thiện với môi trường được chứng nhận nhãn sinh thái theo quy định của pháp luật.</w:t>
      </w:r>
      <w:r w:rsidR="00E247A2" w:rsidRPr="00850805">
        <w:rPr>
          <w:rFonts w:cs="Times New Roman"/>
          <w:szCs w:val="26"/>
          <w:shd w:val="clear" w:color="auto" w:fill="FFFFFF"/>
        </w:rPr>
        <w:t xml:space="preserve"> </w:t>
      </w:r>
    </w:p>
    <w:p w:rsidR="00E247A2" w:rsidRPr="00850805" w:rsidRDefault="00E247A2" w:rsidP="00850805">
      <w:pPr>
        <w:shd w:val="clear" w:color="auto" w:fill="FFFFFF"/>
        <w:spacing w:before="120" w:after="120" w:line="340" w:lineRule="exact"/>
        <w:ind w:firstLine="720"/>
        <w:rPr>
          <w:rFonts w:cs="Times New Roman"/>
          <w:szCs w:val="26"/>
          <w:shd w:val="clear" w:color="auto" w:fill="FFFFFF"/>
        </w:rPr>
      </w:pPr>
      <w:r w:rsidRPr="00850805">
        <w:rPr>
          <w:rFonts w:cs="Times New Roman"/>
          <w:szCs w:val="26"/>
          <w:shd w:val="clear" w:color="auto" w:fill="FFFFFF"/>
        </w:rPr>
        <w:t xml:space="preserve">Bên cạnh đó, việc thực hiện sản xuất và tiêu dùng bền vững cũng được đề cập trong các chiến lược và kế hoạch phát triển của Chính phủ, </w:t>
      </w:r>
      <w:r w:rsidR="0043618B" w:rsidRPr="00850805">
        <w:rPr>
          <w:rFonts w:cs="Times New Roman"/>
          <w:szCs w:val="26"/>
          <w:shd w:val="clear" w:color="auto" w:fill="FFFFFF"/>
        </w:rPr>
        <w:t>bao gồm</w:t>
      </w:r>
      <w:r w:rsidRPr="00850805">
        <w:rPr>
          <w:rFonts w:cs="Times New Roman"/>
          <w:szCs w:val="26"/>
          <w:shd w:val="clear" w:color="auto" w:fill="FFFFFF"/>
        </w:rPr>
        <w:t xml:space="preserve">: </w:t>
      </w:r>
      <w:r w:rsidR="00944DF0" w:rsidRPr="00850805">
        <w:rPr>
          <w:rFonts w:cs="Times New Roman"/>
          <w:szCs w:val="26"/>
          <w:shd w:val="clear" w:color="auto" w:fill="FFFFFF"/>
        </w:rPr>
        <w:t xml:space="preserve">Chiến lược phát triển kinh tế-xã hội của Việt Nam giai đoạn 2011-2020 đã khẳng định yêu cầu cấp thiết của việc chuyển đổi phương thức tiêu dùng theo hướng bền vững nhằm bảo vệ và cải </w:t>
      </w:r>
      <w:r w:rsidR="00944DF0" w:rsidRPr="00850805">
        <w:rPr>
          <w:rFonts w:cs="Times New Roman"/>
          <w:szCs w:val="26"/>
          <w:shd w:val="clear" w:color="auto" w:fill="FFFFFF"/>
        </w:rPr>
        <w:lastRenderedPageBreak/>
        <w:t>thiện chất lượng môi trường, chủ động ứng phó có hiệu quả với biến đổi khí hậ</w:t>
      </w:r>
      <w:r w:rsidRPr="00850805">
        <w:rPr>
          <w:rFonts w:cs="Times New Roman"/>
          <w:szCs w:val="26"/>
          <w:shd w:val="clear" w:color="auto" w:fill="FFFFFF"/>
        </w:rPr>
        <w:t xml:space="preserve">u; </w:t>
      </w:r>
      <w:r w:rsidR="00944DF0" w:rsidRPr="00850805">
        <w:rPr>
          <w:rFonts w:cs="Times New Roman"/>
          <w:szCs w:val="26"/>
          <w:shd w:val="clear" w:color="auto" w:fill="FFFFFF"/>
        </w:rPr>
        <w:t>Chiến</w:t>
      </w:r>
      <w:r w:rsidR="00944DF0" w:rsidRPr="00850805">
        <w:rPr>
          <w:rFonts w:cs="Times New Roman"/>
          <w:b/>
          <w:szCs w:val="26"/>
          <w:shd w:val="clear" w:color="auto" w:fill="FFFFFF"/>
        </w:rPr>
        <w:t xml:space="preserve"> </w:t>
      </w:r>
      <w:r w:rsidR="00944DF0" w:rsidRPr="00850805">
        <w:rPr>
          <w:rFonts w:cs="Times New Roman"/>
          <w:szCs w:val="26"/>
          <w:shd w:val="clear" w:color="auto" w:fill="FFFFFF"/>
        </w:rPr>
        <w:t>lược phát triển bền vững giai đoạn 2011-2020 được Thủ tướng chính phủ phê duyệt tại QĐ432/QĐ-TTG ngày 12 tháng 4 năm 2012 cũng nêu rõ một trong các định hướng kinh tế cần ưu tiên trong giai đoạn 2011-2020 là thực hiện sản xuất và tiêu dùng bền vững</w:t>
      </w:r>
      <w:r w:rsidRPr="00850805">
        <w:rPr>
          <w:rFonts w:cs="Times New Roman"/>
          <w:szCs w:val="26"/>
          <w:shd w:val="clear" w:color="auto" w:fill="FFFFFF"/>
        </w:rPr>
        <w:t xml:space="preserve">; </w:t>
      </w:r>
      <w:r w:rsidR="00944DF0" w:rsidRPr="00850805">
        <w:rPr>
          <w:rFonts w:cs="Times New Roman"/>
          <w:szCs w:val="26"/>
          <w:shd w:val="clear" w:color="auto" w:fill="FFFFFF"/>
        </w:rPr>
        <w:t>Quyết định số 1393/QĐ-TTg ngày 25 tháng 9 năm 2012 của Thủ tướng Chính phủ phê duyệt Chiến lược quốc gia về tăng trưởng xanh thời kỳ 2011- 2020 và tầm nhìn đến năm 2050 cũng nhấn mạnh Xanh hóa lối sống và thúc đẩy tiêu dùng bền vững là một trong ba nhiệm vụ chiến lược trong giai đoạn tới nhằm đạt được mục tiêu về tăng trưởng xanh</w:t>
      </w:r>
      <w:r w:rsidRPr="00850805">
        <w:rPr>
          <w:rFonts w:cs="Times New Roman"/>
          <w:szCs w:val="26"/>
          <w:shd w:val="clear" w:color="auto" w:fill="FFFFFF"/>
        </w:rPr>
        <w:t xml:space="preserve">; </w:t>
      </w:r>
      <w:r w:rsidR="00944DF0" w:rsidRPr="00850805">
        <w:rPr>
          <w:rFonts w:cs="Times New Roman"/>
          <w:szCs w:val="26"/>
          <w:shd w:val="clear" w:color="auto" w:fill="FFFFFF"/>
        </w:rPr>
        <w:t xml:space="preserve">Để cụ thể hoá việc thực hiện Chiến lược tăng trưởng xanh, ngày 20 tháng 3 năm 2014, Chính phủ đã ban hành Quyết định số 403/QĐ-TTg phê duyệt Kế hoạch hành động quốc gia về tăng trưởng xanh giai đoạn 2014 - 2020. </w:t>
      </w:r>
      <w:proofErr w:type="gramStart"/>
      <w:r w:rsidR="00944DF0" w:rsidRPr="00850805">
        <w:rPr>
          <w:rFonts w:cs="Times New Roman"/>
          <w:szCs w:val="26"/>
          <w:shd w:val="clear" w:color="auto" w:fill="FFFFFF"/>
        </w:rPr>
        <w:t>Một trong bốn chủ đề chính của kế hoạch quốc gia là</w:t>
      </w:r>
      <w:r w:rsidRPr="00850805">
        <w:rPr>
          <w:rFonts w:cs="Times New Roman"/>
          <w:szCs w:val="26"/>
          <w:shd w:val="clear" w:color="auto" w:fill="FFFFFF"/>
        </w:rPr>
        <w:t xml:space="preserve"> t</w:t>
      </w:r>
      <w:r w:rsidR="00944DF0" w:rsidRPr="00850805">
        <w:rPr>
          <w:rFonts w:cs="Times New Roman"/>
          <w:szCs w:val="26"/>
          <w:shd w:val="clear" w:color="auto" w:fill="FFFFFF"/>
        </w:rPr>
        <w:t>hực hiện Xanh hóa lối sống và tiêu dùng bền vững.</w:t>
      </w:r>
      <w:proofErr w:type="gramEnd"/>
      <w:r w:rsidR="00944DF0" w:rsidRPr="00850805">
        <w:rPr>
          <w:rFonts w:cs="Times New Roman"/>
          <w:szCs w:val="26"/>
          <w:shd w:val="clear" w:color="auto" w:fill="FFFFFF"/>
        </w:rPr>
        <w:t xml:space="preserve"> Gần đây nhất, Quyết định số 76/QĐ-TTg của Thủ tướng chính phủ ngày 11 tháng 1 năm 2016 về việc Phê duyệt chương trình hành động quốc gia về sản xuất và tiêu dùng bền vững đến năm 2020, tầm nhìn đến năm 2030 cũng đã đặt ra mục tiêu trong giai đoạ</w:t>
      </w:r>
      <w:r w:rsidRPr="00850805">
        <w:rPr>
          <w:rFonts w:cs="Times New Roman"/>
          <w:szCs w:val="26"/>
          <w:shd w:val="clear" w:color="auto" w:fill="FFFFFF"/>
        </w:rPr>
        <w:t>n 2016-2020 đó là</w:t>
      </w:r>
      <w:r w:rsidR="00944DF0" w:rsidRPr="00850805">
        <w:rPr>
          <w:rFonts w:cs="Times New Roman"/>
          <w:szCs w:val="26"/>
          <w:shd w:val="clear" w:color="auto" w:fill="FFFFFF"/>
        </w:rPr>
        <w:t xml:space="preserve"> nâng tỷ trọng các sản phẩm, dịch vụ thân thiện môi trường trong cơ cấu chi tiêu công của Chính phủ; hoàn thiện khung pháp lý quy định, hướng dẫn thực hiện </w:t>
      </w:r>
      <w:r w:rsidR="00FC723F">
        <w:rPr>
          <w:rFonts w:cs="Times New Roman"/>
          <w:szCs w:val="26"/>
          <w:shd w:val="clear" w:color="auto" w:fill="FFFFFF"/>
        </w:rPr>
        <w:t>MSCX</w:t>
      </w:r>
      <w:r w:rsidRPr="00850805">
        <w:rPr>
          <w:rFonts w:cs="Times New Roman"/>
          <w:szCs w:val="26"/>
          <w:shd w:val="clear" w:color="auto" w:fill="FFFFFF"/>
        </w:rPr>
        <w:t>.</w:t>
      </w:r>
    </w:p>
    <w:p w:rsidR="00044216" w:rsidRPr="00D46673" w:rsidRDefault="001F1592" w:rsidP="00850805">
      <w:pPr>
        <w:pStyle w:val="2"/>
        <w:keepNext w:val="0"/>
        <w:keepLines w:val="0"/>
        <w:widowControl w:val="0"/>
        <w:tabs>
          <w:tab w:val="left" w:pos="742"/>
          <w:tab w:val="left" w:pos="896"/>
        </w:tabs>
        <w:spacing w:before="120" w:after="120" w:line="340" w:lineRule="exact"/>
        <w:rPr>
          <w:i/>
          <w:color w:val="auto"/>
          <w:sz w:val="26"/>
          <w:szCs w:val="26"/>
        </w:rPr>
      </w:pPr>
      <w:bookmarkStart w:id="3" w:name="_Toc463221944"/>
      <w:r w:rsidRPr="00D46673">
        <w:rPr>
          <w:i/>
          <w:color w:val="auto"/>
          <w:sz w:val="26"/>
          <w:szCs w:val="26"/>
          <w:lang w:val="en-US"/>
        </w:rPr>
        <w:t>3</w:t>
      </w:r>
      <w:r w:rsidR="00044216" w:rsidRPr="00D46673">
        <w:rPr>
          <w:i/>
          <w:color w:val="auto"/>
          <w:sz w:val="26"/>
          <w:szCs w:val="26"/>
        </w:rPr>
        <w:t>.3. Tổ chức thực hiện các cơ chế về mua sắm công và mua sắm công xanh</w:t>
      </w:r>
      <w:bookmarkEnd w:id="3"/>
    </w:p>
    <w:p w:rsidR="00044216" w:rsidRPr="00850805" w:rsidRDefault="00044216" w:rsidP="00850805">
      <w:pPr>
        <w:spacing w:before="120" w:after="120" w:line="340" w:lineRule="exact"/>
        <w:ind w:firstLine="720"/>
        <w:rPr>
          <w:rFonts w:cs="Times New Roman"/>
          <w:szCs w:val="26"/>
          <w:lang w:val="it-IT"/>
        </w:rPr>
      </w:pPr>
      <w:r w:rsidRPr="00850805">
        <w:rPr>
          <w:rFonts w:cs="Times New Roman"/>
          <w:szCs w:val="26"/>
          <w:lang w:val="it-IT"/>
        </w:rPr>
        <w:t xml:space="preserve">Trên cơ sở các </w:t>
      </w:r>
      <w:r w:rsidR="00B51BF7">
        <w:rPr>
          <w:rFonts w:cs="Times New Roman"/>
          <w:szCs w:val="26"/>
          <w:lang w:val="it-IT"/>
        </w:rPr>
        <w:t>cơ chế, chính sách</w:t>
      </w:r>
      <w:r w:rsidRPr="00850805">
        <w:rPr>
          <w:rFonts w:cs="Times New Roman"/>
          <w:szCs w:val="26"/>
          <w:lang w:val="it-IT"/>
        </w:rPr>
        <w:t xml:space="preserve"> đã được ban hành, trong thời gian qua,</w:t>
      </w:r>
      <w:r w:rsidR="00CB576F" w:rsidRPr="00850805">
        <w:rPr>
          <w:rFonts w:cs="Times New Roman"/>
          <w:szCs w:val="26"/>
          <w:lang w:val="it-IT"/>
        </w:rPr>
        <w:t xml:space="preserve"> </w:t>
      </w:r>
      <w:r w:rsidRPr="00850805">
        <w:rPr>
          <w:rFonts w:cs="Times New Roman"/>
          <w:szCs w:val="26"/>
          <w:lang w:val="it-IT"/>
        </w:rPr>
        <w:t>quá trình tổ chức thực hiện các cơ chế về MSC và MSCX được thực hiện như sau:</w:t>
      </w:r>
    </w:p>
    <w:p w:rsidR="00044216" w:rsidRPr="00D46673" w:rsidRDefault="001F1592" w:rsidP="00850805">
      <w:pPr>
        <w:pStyle w:val="3"/>
        <w:spacing w:before="120" w:after="120" w:line="340" w:lineRule="exact"/>
        <w:rPr>
          <w:b w:val="0"/>
          <w:color w:val="auto"/>
          <w:lang w:val="en-US"/>
        </w:rPr>
      </w:pPr>
      <w:bookmarkStart w:id="4" w:name="_Toc463221945"/>
      <w:r w:rsidRPr="00D46673">
        <w:rPr>
          <w:b w:val="0"/>
          <w:color w:val="auto"/>
          <w:lang w:val="en-US"/>
        </w:rPr>
        <w:t>3</w:t>
      </w:r>
      <w:r w:rsidR="00044216" w:rsidRPr="00D46673">
        <w:rPr>
          <w:b w:val="0"/>
          <w:color w:val="auto"/>
        </w:rPr>
        <w:t>.3.1. Mua sắm công</w:t>
      </w:r>
      <w:bookmarkEnd w:id="4"/>
      <w:r w:rsidR="0051791A" w:rsidRPr="00D46673">
        <w:rPr>
          <w:b w:val="0"/>
          <w:color w:val="auto"/>
          <w:lang w:val="en-US"/>
        </w:rPr>
        <w:t xml:space="preserve"> và mua sắm công xanh</w:t>
      </w:r>
    </w:p>
    <w:p w:rsidR="00044216" w:rsidRPr="00850805" w:rsidRDefault="00044216" w:rsidP="00850805">
      <w:pPr>
        <w:widowControl w:val="0"/>
        <w:spacing w:before="120" w:after="120" w:line="340" w:lineRule="exact"/>
        <w:ind w:firstLine="720"/>
        <w:rPr>
          <w:rFonts w:cs="Times New Roman"/>
          <w:iCs/>
          <w:szCs w:val="26"/>
          <w:lang w:val="nl-NL"/>
        </w:rPr>
      </w:pPr>
      <w:r w:rsidRPr="00850805">
        <w:rPr>
          <w:rFonts w:cs="Times New Roman"/>
          <w:szCs w:val="26"/>
          <w:lang w:val="cs-CZ"/>
        </w:rPr>
        <w:t xml:space="preserve">Trong năm 2007, </w:t>
      </w:r>
      <w:r w:rsidR="0043618B" w:rsidRPr="00850805">
        <w:rPr>
          <w:rFonts w:cs="Times New Roman"/>
          <w:szCs w:val="26"/>
          <w:lang w:val="cs-CZ"/>
        </w:rPr>
        <w:t>Bộ Tài chính</w:t>
      </w:r>
      <w:r w:rsidRPr="00850805">
        <w:rPr>
          <w:rFonts w:cs="Times New Roman"/>
          <w:szCs w:val="26"/>
          <w:lang w:val="cs-CZ"/>
        </w:rPr>
        <w:t xml:space="preserve"> đã ban hành Thông tư số 63/2007/TT-BTC </w:t>
      </w:r>
      <w:r w:rsidR="0043618B" w:rsidRPr="00850805">
        <w:rPr>
          <w:rFonts w:cs="Times New Roman"/>
          <w:szCs w:val="26"/>
          <w:lang w:val="cs-CZ"/>
        </w:rPr>
        <w:t>và</w:t>
      </w:r>
      <w:r w:rsidRPr="00850805">
        <w:rPr>
          <w:rFonts w:cs="Times New Roman"/>
          <w:szCs w:val="26"/>
          <w:lang w:val="cs-CZ"/>
        </w:rPr>
        <w:t xml:space="preserve"> </w:t>
      </w:r>
      <w:r w:rsidR="0043618B" w:rsidRPr="00850805">
        <w:rPr>
          <w:rFonts w:cs="Times New Roman"/>
          <w:szCs w:val="26"/>
          <w:lang w:val="cs-CZ"/>
        </w:rPr>
        <w:t xml:space="preserve">131/2007/TT-BTC </w:t>
      </w:r>
      <w:r w:rsidRPr="00850805">
        <w:rPr>
          <w:rFonts w:cs="Times New Roman"/>
          <w:szCs w:val="26"/>
          <w:lang w:val="cs-CZ"/>
        </w:rPr>
        <w:t>về "</w:t>
      </w:r>
      <w:r w:rsidRPr="00850805">
        <w:rPr>
          <w:rFonts w:cs="Times New Roman"/>
          <w:szCs w:val="26"/>
        </w:rPr>
        <w:t xml:space="preserve">hướng dẫn thực hiện đấu thầu </w:t>
      </w:r>
      <w:r w:rsidR="0043618B" w:rsidRPr="00850805">
        <w:rPr>
          <w:rFonts w:cs="Times New Roman"/>
          <w:szCs w:val="26"/>
        </w:rPr>
        <w:t>mua sắm tài sản (</w:t>
      </w:r>
      <w:r w:rsidRPr="00850805">
        <w:rPr>
          <w:rFonts w:cs="Times New Roman"/>
          <w:szCs w:val="26"/>
        </w:rPr>
        <w:t>MSTS</w:t>
      </w:r>
      <w:r w:rsidR="0043618B" w:rsidRPr="00850805">
        <w:rPr>
          <w:rFonts w:cs="Times New Roman"/>
          <w:szCs w:val="26"/>
        </w:rPr>
        <w:t>)</w:t>
      </w:r>
      <w:r w:rsidRPr="00850805">
        <w:rPr>
          <w:rFonts w:cs="Times New Roman"/>
          <w:szCs w:val="26"/>
        </w:rPr>
        <w:t xml:space="preserve"> nhằm duy trì hoạt động thường xuyên của cơ quan nhà nước bằng vốn nhà nước</w:t>
      </w:r>
      <w:r w:rsidRPr="00850805">
        <w:rPr>
          <w:rFonts w:cs="Times New Roman"/>
          <w:szCs w:val="26"/>
          <w:lang w:val="cs-CZ"/>
        </w:rPr>
        <w:t>"</w:t>
      </w:r>
      <w:r w:rsidR="0043618B" w:rsidRPr="00850805">
        <w:rPr>
          <w:rFonts w:cs="Times New Roman"/>
          <w:szCs w:val="26"/>
          <w:lang w:val="cs-CZ"/>
        </w:rPr>
        <w:t xml:space="preserve">. </w:t>
      </w:r>
      <w:r w:rsidRPr="00850805">
        <w:rPr>
          <w:rFonts w:cs="Times New Roman"/>
          <w:szCs w:val="26"/>
          <w:lang w:val="cs-CZ"/>
        </w:rPr>
        <w:t xml:space="preserve">Tuy nhiên, các tiếp cận về MSC được phân cấp theo quy định ở trên đã được sửa đổi theo QĐ số 179/2007/QĐ-TTg của TTCP về </w:t>
      </w:r>
      <w:r w:rsidRPr="00850805">
        <w:rPr>
          <w:rFonts w:cs="Times New Roman"/>
          <w:szCs w:val="26"/>
        </w:rPr>
        <w:t>“</w:t>
      </w:r>
      <w:r w:rsidRPr="00850805">
        <w:rPr>
          <w:rFonts w:cs="Times New Roman"/>
          <w:bCs/>
          <w:szCs w:val="26"/>
          <w:lang w:val="nl-NL"/>
        </w:rPr>
        <w:t>Ban hành Quy chế tổ chức MSTS, hàng hoá từ ngân sách nhà nước theo phương thức tập trung”</w:t>
      </w:r>
      <w:r w:rsidRPr="00850805">
        <w:rPr>
          <w:rFonts w:cs="Times New Roman"/>
          <w:szCs w:val="26"/>
          <w:lang w:val="cs-CZ"/>
        </w:rPr>
        <w:t>. Q</w:t>
      </w:r>
      <w:r w:rsidR="0043618B" w:rsidRPr="00850805">
        <w:rPr>
          <w:rFonts w:cs="Times New Roman"/>
          <w:szCs w:val="26"/>
          <w:lang w:val="cs-CZ"/>
        </w:rPr>
        <w:t>uyết định</w:t>
      </w:r>
      <w:r w:rsidRPr="00850805">
        <w:rPr>
          <w:rFonts w:cs="Times New Roman"/>
          <w:szCs w:val="26"/>
          <w:lang w:val="cs-CZ"/>
        </w:rPr>
        <w:t xml:space="preserve"> này được áp dụng cho tất cả các Bộ, </w:t>
      </w:r>
      <w:r w:rsidR="0043618B" w:rsidRPr="00850805">
        <w:rPr>
          <w:rFonts w:cs="Times New Roman"/>
          <w:szCs w:val="26"/>
          <w:lang w:val="cs-CZ"/>
        </w:rPr>
        <w:t>Cơ quan Chính phủ</w:t>
      </w:r>
      <w:r w:rsidRPr="00850805">
        <w:rPr>
          <w:rFonts w:cs="Times New Roman"/>
          <w:szCs w:val="26"/>
          <w:lang w:val="cs-CZ"/>
        </w:rPr>
        <w:t xml:space="preserve">, và </w:t>
      </w:r>
      <w:r w:rsidR="0043618B" w:rsidRPr="00850805">
        <w:rPr>
          <w:rFonts w:cs="Times New Roman"/>
          <w:szCs w:val="26"/>
          <w:lang w:val="cs-CZ"/>
        </w:rPr>
        <w:t>Ủy ban Nhân dân</w:t>
      </w:r>
      <w:r w:rsidRPr="00850805">
        <w:rPr>
          <w:rFonts w:cs="Times New Roman"/>
          <w:szCs w:val="26"/>
          <w:lang w:val="cs-CZ"/>
        </w:rPr>
        <w:t xml:space="preserve"> cấp tỉnh của 63 thành phố trung tâm và tỉnh; trừ Bộ Quốc phòng và Bộ Công An. </w:t>
      </w:r>
      <w:r w:rsidR="0043618B" w:rsidRPr="00850805">
        <w:rPr>
          <w:rFonts w:cs="Times New Roman"/>
          <w:szCs w:val="26"/>
          <w:lang w:val="cs-CZ"/>
        </w:rPr>
        <w:t>Quyết định</w:t>
      </w:r>
      <w:r w:rsidRPr="00850805">
        <w:rPr>
          <w:rFonts w:cs="Times New Roman"/>
          <w:szCs w:val="26"/>
          <w:lang w:val="cs-CZ"/>
        </w:rPr>
        <w:t xml:space="preserve"> này được đưa vào thực hiện theo Thông tư số 22/2008/TTBTC của </w:t>
      </w:r>
      <w:r w:rsidR="0043618B" w:rsidRPr="00850805">
        <w:rPr>
          <w:rFonts w:cs="Times New Roman"/>
          <w:szCs w:val="26"/>
          <w:lang w:val="cs-CZ"/>
        </w:rPr>
        <w:t>Bộ Tài chính</w:t>
      </w:r>
      <w:r w:rsidRPr="00850805">
        <w:rPr>
          <w:rFonts w:cs="Times New Roman"/>
          <w:szCs w:val="26"/>
          <w:lang w:val="cs-CZ"/>
        </w:rPr>
        <w:t xml:space="preserve"> ngày 10 tháng ba năm 2008. </w:t>
      </w:r>
      <w:r w:rsidRPr="00850805">
        <w:rPr>
          <w:rFonts w:cs="Times New Roman"/>
          <w:iCs/>
          <w:szCs w:val="26"/>
          <w:lang w:val="nl-NL"/>
        </w:rPr>
        <w:t xml:space="preserve">Trên </w:t>
      </w:r>
      <w:r w:rsidRPr="00850805">
        <w:rPr>
          <w:rFonts w:cs="Times New Roman"/>
          <w:szCs w:val="26"/>
          <w:lang w:val="cs-CZ"/>
        </w:rPr>
        <w:t xml:space="preserve">thực tế, việc thực hiện MSC tập trung đã tiết kiệm khoảng 469 tỷ đồng cho ngân sách nhà nước trong 5 năm thí điểm, từ năm 2008 đến năm 2012. Đặc biệt trong năm 2011, phương pháp này tiết kiệm khoảng 266 tỷ đồng. </w:t>
      </w:r>
      <w:r w:rsidR="0092637E" w:rsidRPr="00850805">
        <w:rPr>
          <w:rFonts w:cs="Times New Roman"/>
          <w:szCs w:val="26"/>
          <w:lang w:val="cs-CZ"/>
        </w:rPr>
        <w:t>Quyết định</w:t>
      </w:r>
      <w:r w:rsidRPr="00850805">
        <w:rPr>
          <w:rFonts w:cs="Times New Roman"/>
          <w:szCs w:val="26"/>
          <w:lang w:val="cs-CZ"/>
        </w:rPr>
        <w:t xml:space="preserve"> số 179/2007/QĐ-TTg</w:t>
      </w:r>
      <w:r w:rsidRPr="00850805">
        <w:rPr>
          <w:rFonts w:cs="Times New Roman"/>
          <w:iCs/>
          <w:szCs w:val="26"/>
          <w:lang w:val="nl-NL"/>
        </w:rPr>
        <w:t xml:space="preserve"> cũng đã đưa ra hướng dẫn chi tiết quy trình MSC theo hình thức tập trung.</w:t>
      </w:r>
    </w:p>
    <w:p w:rsidR="0051791A" w:rsidRPr="00850805" w:rsidRDefault="0051791A" w:rsidP="00850805">
      <w:pPr>
        <w:spacing w:before="120" w:after="120" w:line="340" w:lineRule="exact"/>
        <w:ind w:left="57" w:right="57" w:firstLine="720"/>
        <w:rPr>
          <w:rFonts w:cs="Times New Roman"/>
          <w:spacing w:val="-6"/>
          <w:szCs w:val="26"/>
          <w:lang w:val="cs-CZ"/>
        </w:rPr>
      </w:pPr>
      <w:r w:rsidRPr="00850805">
        <w:rPr>
          <w:rFonts w:cs="Times New Roman"/>
          <w:spacing w:val="-6"/>
          <w:szCs w:val="26"/>
          <w:lang w:val="pl-PL"/>
        </w:rPr>
        <w:t xml:space="preserve">Ngày 12/12/2011 TTCP ban hành </w:t>
      </w:r>
      <w:r w:rsidR="0092637E" w:rsidRPr="00850805">
        <w:rPr>
          <w:rFonts w:cs="Times New Roman"/>
          <w:szCs w:val="26"/>
          <w:lang w:val="cs-CZ"/>
        </w:rPr>
        <w:t>quyết định</w:t>
      </w:r>
      <w:r w:rsidRPr="00850805">
        <w:rPr>
          <w:rFonts w:cs="Times New Roman"/>
          <w:spacing w:val="-6"/>
          <w:szCs w:val="26"/>
          <w:lang w:val="pl-PL"/>
        </w:rPr>
        <w:t xml:space="preserve"> số 68/2011/QĐ- TTg quy định danh mục phương tiện, thiết bị tiết kiệm năng lượng được trang bị, mua sắm đối với cơ quan đơn vị sử dụng ngân sách Nhà nước. Theo </w:t>
      </w:r>
      <w:r w:rsidR="0092637E" w:rsidRPr="00850805">
        <w:rPr>
          <w:rFonts w:cs="Times New Roman"/>
          <w:szCs w:val="26"/>
          <w:lang w:val="cs-CZ"/>
        </w:rPr>
        <w:t>quyết định</w:t>
      </w:r>
      <w:r w:rsidRPr="00850805">
        <w:rPr>
          <w:rFonts w:cs="Times New Roman"/>
          <w:spacing w:val="-6"/>
          <w:szCs w:val="26"/>
          <w:lang w:val="pl-PL"/>
        </w:rPr>
        <w:t xml:space="preserve"> này, các cơ quan, đơn vị sử dụng ngân sách nhà nước khi mua sắm các phương tiện, thiết bị thuộc </w:t>
      </w:r>
      <w:r w:rsidR="0092637E" w:rsidRPr="00850805">
        <w:rPr>
          <w:rFonts w:cs="Times New Roman"/>
          <w:spacing w:val="-6"/>
          <w:szCs w:val="26"/>
          <w:lang w:val="pl-PL"/>
        </w:rPr>
        <w:t>d</w:t>
      </w:r>
      <w:r w:rsidRPr="00850805">
        <w:rPr>
          <w:rFonts w:cs="Times New Roman"/>
          <w:spacing w:val="-6"/>
          <w:szCs w:val="26"/>
          <w:lang w:val="pl-PL"/>
        </w:rPr>
        <w:t xml:space="preserve">anh mục ban hành kèm theo </w:t>
      </w:r>
      <w:r w:rsidR="0092637E" w:rsidRPr="00850805">
        <w:rPr>
          <w:rFonts w:cs="Times New Roman"/>
          <w:szCs w:val="26"/>
          <w:lang w:val="cs-CZ"/>
        </w:rPr>
        <w:t>quyết định</w:t>
      </w:r>
      <w:r w:rsidRPr="00850805">
        <w:rPr>
          <w:rFonts w:cs="Times New Roman"/>
          <w:spacing w:val="-6"/>
          <w:szCs w:val="26"/>
          <w:lang w:val="pl-PL"/>
        </w:rPr>
        <w:t xml:space="preserve"> này phải mua sắm các phương tiện, thiết bị được dán nhãn năng lượng </w:t>
      </w:r>
      <w:r w:rsidRPr="00850805">
        <w:rPr>
          <w:rFonts w:cs="Times New Roman"/>
          <w:spacing w:val="-6"/>
          <w:szCs w:val="26"/>
          <w:lang w:val="pl-PL"/>
        </w:rPr>
        <w:lastRenderedPageBreak/>
        <w:t xml:space="preserve">loại nhãn xác nhận (nhãn Ngôi sao năng lượng) hoặc nhãn so sánh đạt cấp hiệu suất năng lượng 5 sao. </w:t>
      </w:r>
      <w:r w:rsidR="0092637E" w:rsidRPr="00850805">
        <w:rPr>
          <w:rFonts w:cs="Times New Roman"/>
          <w:szCs w:val="26"/>
          <w:lang w:val="cs-CZ"/>
        </w:rPr>
        <w:t>Quyết định</w:t>
      </w:r>
      <w:r w:rsidRPr="00850805">
        <w:rPr>
          <w:rFonts w:cs="Times New Roman"/>
          <w:spacing w:val="-6"/>
          <w:szCs w:val="26"/>
          <w:lang w:val="pl-PL"/>
        </w:rPr>
        <w:t xml:space="preserve"> này có hiệu lực từ ngày 1/2/2012 </w:t>
      </w:r>
      <w:r w:rsidRPr="00850805">
        <w:rPr>
          <w:rFonts w:cs="Times New Roman"/>
          <w:spacing w:val="-6"/>
          <w:szCs w:val="26"/>
          <w:lang w:val="cs-CZ"/>
        </w:rPr>
        <w:t xml:space="preserve">là cơ sở pháp lý cụ thể để triển khai MSCX về vấn đề tiết kiệm năng lượng. </w:t>
      </w:r>
    </w:p>
    <w:p w:rsidR="00044216" w:rsidRPr="00D46673" w:rsidRDefault="001F1592" w:rsidP="00850805">
      <w:pPr>
        <w:spacing w:before="120" w:after="120" w:line="340" w:lineRule="exact"/>
        <w:rPr>
          <w:rFonts w:cs="Times New Roman"/>
          <w:i/>
          <w:szCs w:val="26"/>
        </w:rPr>
      </w:pPr>
      <w:bookmarkStart w:id="5" w:name="_Toc462461727"/>
      <w:bookmarkStart w:id="6" w:name="_Toc463221947"/>
      <w:r w:rsidRPr="00D46673">
        <w:rPr>
          <w:rFonts w:cs="Times New Roman"/>
          <w:i/>
          <w:szCs w:val="26"/>
        </w:rPr>
        <w:t>3</w:t>
      </w:r>
      <w:r w:rsidR="00044216" w:rsidRPr="00D46673">
        <w:rPr>
          <w:rFonts w:cs="Times New Roman"/>
          <w:i/>
          <w:szCs w:val="26"/>
        </w:rPr>
        <w:t>.3.2.</w:t>
      </w:r>
      <w:bookmarkEnd w:id="5"/>
      <w:r w:rsidR="00044216" w:rsidRPr="00D46673">
        <w:rPr>
          <w:rFonts w:cs="Times New Roman"/>
          <w:i/>
          <w:szCs w:val="26"/>
        </w:rPr>
        <w:t xml:space="preserve"> Chương trình nhãn sinh thái Việt Nam</w:t>
      </w:r>
      <w:bookmarkEnd w:id="6"/>
    </w:p>
    <w:p w:rsidR="0092637E" w:rsidRPr="00850805" w:rsidRDefault="0051791A" w:rsidP="00850805">
      <w:pPr>
        <w:spacing w:before="120" w:after="120" w:line="340" w:lineRule="exact"/>
        <w:ind w:firstLine="720"/>
        <w:rPr>
          <w:rFonts w:cs="Times New Roman"/>
          <w:szCs w:val="26"/>
        </w:rPr>
      </w:pPr>
      <w:bookmarkStart w:id="7" w:name="_Toc463221948"/>
      <w:r w:rsidRPr="00850805">
        <w:rPr>
          <w:rFonts w:cs="Times New Roman"/>
          <w:szCs w:val="26"/>
        </w:rPr>
        <w:t xml:space="preserve">Nhãn sinh thái là cơ sở căn bản để thực hiện </w:t>
      </w:r>
      <w:r w:rsidR="007F1783">
        <w:rPr>
          <w:rFonts w:cs="Times New Roman"/>
          <w:szCs w:val="26"/>
        </w:rPr>
        <w:t>MSX</w:t>
      </w:r>
      <w:r w:rsidRPr="00850805">
        <w:rPr>
          <w:rFonts w:cs="Times New Roman"/>
          <w:szCs w:val="26"/>
        </w:rPr>
        <w:t xml:space="preserve"> nói </w:t>
      </w:r>
      <w:proofErr w:type="gramStart"/>
      <w:r w:rsidRPr="00850805">
        <w:rPr>
          <w:rFonts w:cs="Times New Roman"/>
          <w:szCs w:val="26"/>
        </w:rPr>
        <w:t>chung</w:t>
      </w:r>
      <w:proofErr w:type="gramEnd"/>
      <w:r w:rsidRPr="00850805">
        <w:rPr>
          <w:rFonts w:cs="Times New Roman"/>
          <w:szCs w:val="26"/>
        </w:rPr>
        <w:t xml:space="preserve"> cũng như </w:t>
      </w:r>
      <w:r w:rsidR="00FC723F">
        <w:rPr>
          <w:rFonts w:cs="Times New Roman"/>
          <w:szCs w:val="26"/>
        </w:rPr>
        <w:t>MSCX</w:t>
      </w:r>
      <w:r w:rsidRPr="00850805">
        <w:rPr>
          <w:rFonts w:cs="Times New Roman"/>
          <w:szCs w:val="26"/>
        </w:rPr>
        <w:t xml:space="preserve"> nói riêng. </w:t>
      </w:r>
      <w:proofErr w:type="gramStart"/>
      <w:r w:rsidRPr="00850805">
        <w:rPr>
          <w:rFonts w:cs="Times New Roman"/>
          <w:szCs w:val="26"/>
        </w:rPr>
        <w:t>Hiện tại, ở Việt Nam đang có 3 nhãn sinh thái chính thức hoạt động.</w:t>
      </w:r>
      <w:proofErr w:type="gramEnd"/>
      <w:r w:rsidRPr="00850805">
        <w:rPr>
          <w:rFonts w:cs="Times New Roman"/>
          <w:szCs w:val="26"/>
        </w:rPr>
        <w:t xml:space="preserve"> </w:t>
      </w:r>
      <w:proofErr w:type="gramStart"/>
      <w:r w:rsidRPr="00850805">
        <w:rPr>
          <w:rFonts w:cs="Times New Roman"/>
          <w:szCs w:val="26"/>
        </w:rPr>
        <w:t>Đó là Nhãn Xanh, Nhãn Tiết kiệm Năng lượng, và Nhãn Bông sen xanh.</w:t>
      </w:r>
      <w:proofErr w:type="gramEnd"/>
      <w:r w:rsidR="0092637E" w:rsidRPr="00850805">
        <w:rPr>
          <w:rFonts w:cs="Times New Roman"/>
          <w:szCs w:val="26"/>
        </w:rPr>
        <w:t xml:space="preserve"> </w:t>
      </w:r>
      <w:r w:rsidRPr="00850805">
        <w:rPr>
          <w:rFonts w:cs="Times New Roman"/>
          <w:szCs w:val="26"/>
        </w:rPr>
        <w:t xml:space="preserve">Nhãn Xanh là sáng kiến của Bộ Tài nguyên và Môi trường được xây dựng với sự hỗ trợ từ UNEP và các nhà tài trợ quốc tế. </w:t>
      </w:r>
      <w:proofErr w:type="gramStart"/>
      <w:r w:rsidRPr="00850805">
        <w:rPr>
          <w:rFonts w:cs="Times New Roman"/>
          <w:szCs w:val="26"/>
        </w:rPr>
        <w:t xml:space="preserve">Chương trình Nhãn Xanh được phê duyệt vào năm 2009, qua </w:t>
      </w:r>
      <w:r w:rsidR="0092637E" w:rsidRPr="00850805">
        <w:rPr>
          <w:rFonts w:cs="Times New Roman"/>
          <w:szCs w:val="26"/>
        </w:rPr>
        <w:t>q</w:t>
      </w:r>
      <w:r w:rsidRPr="00850805">
        <w:rPr>
          <w:rFonts w:cs="Times New Roman"/>
          <w:szCs w:val="26"/>
        </w:rPr>
        <w:t>uyết địn</w:t>
      </w:r>
      <w:r w:rsidR="0092637E" w:rsidRPr="00850805">
        <w:rPr>
          <w:rFonts w:cs="Times New Roman"/>
          <w:szCs w:val="26"/>
        </w:rPr>
        <w:t>h</w:t>
      </w:r>
      <w:r w:rsidRPr="00850805">
        <w:rPr>
          <w:rFonts w:cs="Times New Roman"/>
          <w:szCs w:val="26"/>
        </w:rPr>
        <w:t xml:space="preserve"> số 253/Q</w:t>
      </w:r>
      <w:r w:rsidR="0092637E" w:rsidRPr="00850805">
        <w:rPr>
          <w:rFonts w:cs="Times New Roman"/>
          <w:szCs w:val="26"/>
        </w:rPr>
        <w:t>Đ</w:t>
      </w:r>
      <w:r w:rsidRPr="00850805">
        <w:rPr>
          <w:rFonts w:cs="Times New Roman"/>
          <w:szCs w:val="26"/>
        </w:rPr>
        <w:t>-BTNMT.</w:t>
      </w:r>
      <w:proofErr w:type="gramEnd"/>
      <w:r w:rsidRPr="00850805">
        <w:rPr>
          <w:rFonts w:cs="Times New Roman"/>
          <w:szCs w:val="26"/>
        </w:rPr>
        <w:t xml:space="preserve"> </w:t>
      </w:r>
      <w:proofErr w:type="gramStart"/>
      <w:r w:rsidRPr="00850805">
        <w:rPr>
          <w:rFonts w:cs="Times New Roman"/>
          <w:szCs w:val="26"/>
        </w:rPr>
        <w:t>Chương trình này hiện đang được Tổng cục Môi trường trực tiếp quản lý.</w:t>
      </w:r>
      <w:proofErr w:type="gramEnd"/>
      <w:r w:rsidRPr="00850805">
        <w:rPr>
          <w:rFonts w:cs="Times New Roman"/>
          <w:szCs w:val="26"/>
        </w:rPr>
        <w:t xml:space="preserve"> </w:t>
      </w:r>
    </w:p>
    <w:p w:rsidR="0092637E" w:rsidRPr="00850805" w:rsidRDefault="0051791A" w:rsidP="00850805">
      <w:pPr>
        <w:spacing w:before="120" w:after="120" w:line="340" w:lineRule="exact"/>
        <w:ind w:firstLine="720"/>
        <w:rPr>
          <w:rFonts w:cs="Times New Roman"/>
          <w:szCs w:val="26"/>
        </w:rPr>
      </w:pPr>
      <w:r w:rsidRPr="00850805">
        <w:rPr>
          <w:rFonts w:cs="Times New Roman"/>
          <w:szCs w:val="26"/>
        </w:rPr>
        <w:t xml:space="preserve">Nhãn Tiết kiệm Năng lượng là một dự </w:t>
      </w:r>
      <w:proofErr w:type="gramStart"/>
      <w:r w:rsidRPr="00850805">
        <w:rPr>
          <w:rFonts w:cs="Times New Roman"/>
          <w:szCs w:val="26"/>
        </w:rPr>
        <w:t>án</w:t>
      </w:r>
      <w:proofErr w:type="gramEnd"/>
      <w:r w:rsidRPr="00850805">
        <w:rPr>
          <w:rFonts w:cs="Times New Roman"/>
          <w:szCs w:val="26"/>
        </w:rPr>
        <w:t xml:space="preserve"> thuộc </w:t>
      </w:r>
      <w:r w:rsidR="0092637E" w:rsidRPr="00850805">
        <w:rPr>
          <w:rFonts w:cs="Times New Roman"/>
          <w:szCs w:val="26"/>
        </w:rPr>
        <w:t>c</w:t>
      </w:r>
      <w:r w:rsidRPr="00850805">
        <w:rPr>
          <w:rFonts w:cs="Times New Roman"/>
          <w:szCs w:val="26"/>
        </w:rPr>
        <w:t xml:space="preserve">hương trình </w:t>
      </w:r>
      <w:r w:rsidR="0092637E" w:rsidRPr="00850805">
        <w:rPr>
          <w:rFonts w:cs="Times New Roman"/>
          <w:szCs w:val="26"/>
        </w:rPr>
        <w:t>“</w:t>
      </w:r>
      <w:r w:rsidRPr="00850805">
        <w:rPr>
          <w:rFonts w:cs="Times New Roman"/>
          <w:szCs w:val="26"/>
        </w:rPr>
        <w:t>Sử dụng Năng lượng Tiết kiệm tại Việt Nam</w:t>
      </w:r>
      <w:r w:rsidR="0092637E" w:rsidRPr="00850805">
        <w:rPr>
          <w:rFonts w:cs="Times New Roman"/>
          <w:szCs w:val="26"/>
        </w:rPr>
        <w:t>”</w:t>
      </w:r>
      <w:r w:rsidRPr="00850805">
        <w:rPr>
          <w:rFonts w:cs="Times New Roman"/>
          <w:szCs w:val="26"/>
        </w:rPr>
        <w:t xml:space="preserve"> (VNEEP) được quản lý bởi Bộ Công thương. </w:t>
      </w:r>
      <w:proofErr w:type="gramStart"/>
      <w:r w:rsidRPr="00850805">
        <w:rPr>
          <w:rFonts w:cs="Times New Roman"/>
          <w:szCs w:val="26"/>
        </w:rPr>
        <w:t xml:space="preserve">Chương trình </w:t>
      </w:r>
      <w:r w:rsidR="0092637E" w:rsidRPr="00850805">
        <w:rPr>
          <w:rFonts w:cs="Times New Roman"/>
          <w:szCs w:val="26"/>
        </w:rPr>
        <w:t>này</w:t>
      </w:r>
      <w:r w:rsidRPr="00850805">
        <w:rPr>
          <w:rFonts w:cs="Times New Roman"/>
          <w:szCs w:val="26"/>
        </w:rPr>
        <w:t xml:space="preserve"> được phê duyệt và chính thức đi vào hoạt động từ năm 2006 thông qua Quyết định số 79/2006/QD-TTg của Thủ tướng Chính phủ.</w:t>
      </w:r>
      <w:proofErr w:type="gramEnd"/>
      <w:r w:rsidRPr="00850805">
        <w:rPr>
          <w:rFonts w:cs="Times New Roman"/>
          <w:szCs w:val="26"/>
        </w:rPr>
        <w:t xml:space="preserve"> Dự án nhãn Tiết kiệm Năng lượng được xây dựng nhằm đánh giá mức độ tiêu thụ điện năng của các loại máy móc, thiết bị và đồ điện; xây dựng một bộ tiêu chí kỹ thuật để đánh giá một sản phẩm là tiết kiệm điện hay không, và tiết kiệm điện ở mức độ nào.</w:t>
      </w:r>
    </w:p>
    <w:p w:rsidR="0092637E" w:rsidRPr="00850805" w:rsidRDefault="0051791A" w:rsidP="00850805">
      <w:pPr>
        <w:spacing w:before="120" w:after="120" w:line="340" w:lineRule="exact"/>
        <w:ind w:firstLine="720"/>
        <w:rPr>
          <w:rFonts w:cs="Times New Roman"/>
          <w:szCs w:val="26"/>
        </w:rPr>
      </w:pPr>
      <w:r w:rsidRPr="00850805">
        <w:rPr>
          <w:rFonts w:cs="Times New Roman"/>
          <w:szCs w:val="26"/>
        </w:rPr>
        <w:t xml:space="preserve">Nhằm đối phó với các thách thức về phát triển du lịch bền vững tại Việt Nam, Bộ Văn hóa - Thể thao - Du lịch đã xây dựng chương trình Nhãn Bông sen xanh vào năm 2012 </w:t>
      </w:r>
      <w:r w:rsidR="0092637E" w:rsidRPr="00850805">
        <w:rPr>
          <w:rFonts w:cs="Times New Roman"/>
          <w:szCs w:val="26"/>
        </w:rPr>
        <w:t>theo</w:t>
      </w:r>
      <w:r w:rsidRPr="00850805">
        <w:rPr>
          <w:rFonts w:cs="Times New Roman"/>
          <w:szCs w:val="26"/>
        </w:rPr>
        <w:t xml:space="preserve"> Quyết định số 1355/QD-BVHTTDL ngày 12 tháng 4 năm 2012. Chương trình này có mục tiêu là cung cấp một chiến lược toàn diện để tăng cường chất lượng và tính cạnh tranh của ngành du lịch Việt Nam trên khía cạnh bảo vệ môi trường thông qua cải thiện và áp dụng một hệ thống bảo vệ môi trường cũng như tăng cường trách nhiệm của các doanh nghiệp du lịch với môi trường và xã hội.</w:t>
      </w:r>
    </w:p>
    <w:p w:rsidR="0051791A" w:rsidRPr="00850805" w:rsidRDefault="0051791A" w:rsidP="00850805">
      <w:pPr>
        <w:spacing w:before="120" w:after="120" w:line="340" w:lineRule="exact"/>
        <w:ind w:firstLine="720"/>
        <w:rPr>
          <w:rFonts w:cs="Times New Roman"/>
          <w:szCs w:val="26"/>
        </w:rPr>
      </w:pPr>
      <w:proofErr w:type="gramStart"/>
      <w:r w:rsidRPr="00850805">
        <w:rPr>
          <w:rFonts w:cs="Times New Roman"/>
          <w:szCs w:val="26"/>
        </w:rPr>
        <w:t>Ba chương trình nhãn sinh thái nói trên hiện đang được vận hành ở cấp độ quốc gia với sự tham gia tích cực từ nhiều cấp quản lý, nhiều bộ, ngành, các viện nghiên cứu khoa học công nghệ và khối doanh nghiệp.</w:t>
      </w:r>
      <w:proofErr w:type="gramEnd"/>
      <w:r w:rsidRPr="00850805">
        <w:rPr>
          <w:rFonts w:cs="Times New Roman"/>
          <w:szCs w:val="26"/>
        </w:rPr>
        <w:t xml:space="preserve"> Tuy nhiên, theo kết quả đánh giá của Chương trình Môi trường Liên hợp quố</w:t>
      </w:r>
      <w:r w:rsidR="0070182F">
        <w:rPr>
          <w:rFonts w:cs="Times New Roman"/>
          <w:szCs w:val="26"/>
        </w:rPr>
        <w:t>c (UNEP)</w:t>
      </w:r>
      <w:r w:rsidRPr="00850805">
        <w:rPr>
          <w:rFonts w:cs="Times New Roman"/>
          <w:szCs w:val="26"/>
        </w:rPr>
        <w:t xml:space="preserve">, hiện nay cả 3 chương trình nhãn sinh thái đều chưa được giới thiệu và lồng ghép vào hệ thống mua sắm công tại các cơ quan trung ương. Mặc dù đã được lồng ghép vào </w:t>
      </w:r>
      <w:r w:rsidR="0092637E" w:rsidRPr="00850805">
        <w:rPr>
          <w:rFonts w:cs="Times New Roman"/>
          <w:szCs w:val="26"/>
        </w:rPr>
        <w:t>d</w:t>
      </w:r>
      <w:r w:rsidRPr="00850805">
        <w:rPr>
          <w:rFonts w:cs="Times New Roman"/>
          <w:szCs w:val="26"/>
        </w:rPr>
        <w:t>anh mục phương tiện, thiết bị tiết kiệm năng lượng được trang bị, mua sắm đối với cơ quan, đơn vị sử dụng ngân sách nhà nước theo Quyết định 68/2011/QĐ-TTg, tuy nhiên, mới chỉ dừng lại ở việc thí điểm ở một số đơn vị chứ chưa tiến hành rộng rãi và quy định cụ thể thành tiêu chí trong Luật đấu thầu.</w:t>
      </w:r>
    </w:p>
    <w:p w:rsidR="008806B6" w:rsidRPr="00850805" w:rsidRDefault="001F1592" w:rsidP="00850805">
      <w:pPr>
        <w:pStyle w:val="3"/>
        <w:spacing w:before="120" w:after="120" w:line="340" w:lineRule="exact"/>
        <w:rPr>
          <w:i w:val="0"/>
          <w:color w:val="auto"/>
        </w:rPr>
      </w:pPr>
      <w:bookmarkStart w:id="8" w:name="_Toc463221963"/>
      <w:bookmarkStart w:id="9" w:name="_Toc463221949"/>
      <w:bookmarkEnd w:id="7"/>
      <w:r w:rsidRPr="00850805">
        <w:rPr>
          <w:i w:val="0"/>
          <w:color w:val="auto"/>
          <w:lang w:val="en-US"/>
        </w:rPr>
        <w:t>4</w:t>
      </w:r>
      <w:r w:rsidR="008806B6" w:rsidRPr="00850805">
        <w:rPr>
          <w:i w:val="0"/>
          <w:color w:val="auto"/>
          <w:lang w:val="en-US"/>
        </w:rPr>
        <w:t>.</w:t>
      </w:r>
      <w:r w:rsidR="008806B6" w:rsidRPr="00850805">
        <w:rPr>
          <w:i w:val="0"/>
          <w:color w:val="auto"/>
        </w:rPr>
        <w:t xml:space="preserve"> </w:t>
      </w:r>
      <w:r w:rsidR="008806B6" w:rsidRPr="00850805">
        <w:rPr>
          <w:i w:val="0"/>
          <w:color w:val="auto"/>
          <w:lang w:val="en-US"/>
        </w:rPr>
        <w:t>Thuận lợi và khó khăn trong thực hiện</w:t>
      </w:r>
      <w:r w:rsidR="008806B6" w:rsidRPr="00850805">
        <w:rPr>
          <w:i w:val="0"/>
          <w:color w:val="auto"/>
        </w:rPr>
        <w:t xml:space="preserve"> mua sắm công xanh tại Việt Nam</w:t>
      </w:r>
      <w:bookmarkEnd w:id="8"/>
    </w:p>
    <w:p w:rsidR="0092637E" w:rsidRPr="00850805" w:rsidRDefault="001F1592" w:rsidP="00850805">
      <w:pPr>
        <w:spacing w:before="120" w:after="120" w:line="340" w:lineRule="exact"/>
        <w:rPr>
          <w:rFonts w:cs="Times New Roman"/>
          <w:b/>
          <w:i/>
          <w:szCs w:val="26"/>
        </w:rPr>
      </w:pPr>
      <w:r w:rsidRPr="00850805">
        <w:rPr>
          <w:rFonts w:cs="Times New Roman"/>
          <w:b/>
          <w:i/>
          <w:szCs w:val="26"/>
        </w:rPr>
        <w:t>4</w:t>
      </w:r>
      <w:r w:rsidR="008806B6" w:rsidRPr="00850805">
        <w:rPr>
          <w:rFonts w:cs="Times New Roman"/>
          <w:b/>
          <w:i/>
          <w:szCs w:val="26"/>
        </w:rPr>
        <w:t>.1. Thuận lợi</w:t>
      </w:r>
      <w:bookmarkStart w:id="10" w:name="_Toc463221008"/>
    </w:p>
    <w:p w:rsidR="0092637E" w:rsidRPr="00850805" w:rsidRDefault="008806B6" w:rsidP="00CE2863">
      <w:pPr>
        <w:pStyle w:val="ListParagraph"/>
        <w:numPr>
          <w:ilvl w:val="0"/>
          <w:numId w:val="4"/>
        </w:numPr>
        <w:spacing w:before="120" w:after="120" w:line="340" w:lineRule="exact"/>
        <w:ind w:left="454" w:hanging="284"/>
        <w:rPr>
          <w:rFonts w:cs="Times New Roman"/>
          <w:b/>
          <w:i/>
          <w:szCs w:val="26"/>
        </w:rPr>
      </w:pPr>
      <w:r w:rsidRPr="00850805">
        <w:rPr>
          <w:rFonts w:cs="Times New Roman"/>
          <w:szCs w:val="26"/>
        </w:rPr>
        <w:t xml:space="preserve">Chính phủ đã ban hành nhiều chính sách, chiến lược, và kế hoạch quốc gia liên quan tới </w:t>
      </w:r>
      <w:r w:rsidR="0092637E" w:rsidRPr="00850805">
        <w:rPr>
          <w:rFonts w:cs="Times New Roman"/>
          <w:szCs w:val="26"/>
        </w:rPr>
        <w:t>sản xuất tiêu dùng bền vững nói riêng và MSCX nói chung</w:t>
      </w:r>
      <w:r w:rsidRPr="00850805">
        <w:rPr>
          <w:rFonts w:cs="Times New Roman"/>
          <w:szCs w:val="26"/>
        </w:rPr>
        <w:t xml:space="preserve">, như Chiến </w:t>
      </w:r>
      <w:r w:rsidRPr="00850805">
        <w:rPr>
          <w:rFonts w:cs="Times New Roman"/>
          <w:szCs w:val="26"/>
        </w:rPr>
        <w:lastRenderedPageBreak/>
        <w:t xml:space="preserve">lược và kế hoạch quốc gia về </w:t>
      </w:r>
      <w:r w:rsidR="0092637E" w:rsidRPr="00850805">
        <w:rPr>
          <w:rFonts w:cs="Times New Roman"/>
          <w:szCs w:val="26"/>
        </w:rPr>
        <w:t>tăng trưởng xanh, kinh tế xanh, bảo vệ môi trường, phát triển bền vững.</w:t>
      </w:r>
      <w:bookmarkStart w:id="11" w:name="_Toc463221010"/>
      <w:bookmarkEnd w:id="10"/>
      <w:r w:rsidR="0092637E" w:rsidRPr="00850805">
        <w:rPr>
          <w:rFonts w:cs="Times New Roman"/>
          <w:szCs w:val="26"/>
        </w:rPr>
        <w:t xml:space="preserve"> </w:t>
      </w:r>
      <w:r w:rsidRPr="00850805">
        <w:rPr>
          <w:rFonts w:cs="Times New Roman"/>
          <w:szCs w:val="26"/>
        </w:rPr>
        <w:t xml:space="preserve">Chính phủ đã phê duyệt chi tiêu công cho nhiều chương trình môi trường liên quan tới tiết kiệm năng lượng, xử lý chất thải công trình xây dựng, cũng như ngân sách hàng năm cho các hoạt động </w:t>
      </w:r>
      <w:r w:rsidR="0092637E" w:rsidRPr="00850805">
        <w:rPr>
          <w:rFonts w:cs="Times New Roman"/>
          <w:szCs w:val="26"/>
        </w:rPr>
        <w:t>bảo vệ môi trường</w:t>
      </w:r>
      <w:r w:rsidRPr="00850805">
        <w:rPr>
          <w:rFonts w:cs="Times New Roman"/>
          <w:szCs w:val="26"/>
        </w:rPr>
        <w:t xml:space="preserve"> và các chương trình về thích ứng với biến đổi khí hậu. Ở cấp độ quốc gia, một số kế hoạch và chương trình quốc gia cũng đã được phát triển và bắt đầu được triển khai trên toàn quốc, trong đó có chương trình nhãn sinh thái xanh, chương trình nhãn năng lượng hiệu quả</w:t>
      </w:r>
      <w:r w:rsidR="0092637E" w:rsidRPr="00850805">
        <w:rPr>
          <w:rFonts w:cs="Times New Roman"/>
          <w:szCs w:val="26"/>
        </w:rPr>
        <w:t>, n</w:t>
      </w:r>
      <w:r w:rsidRPr="00850805">
        <w:rPr>
          <w:rFonts w:cs="Times New Roman"/>
          <w:szCs w:val="26"/>
        </w:rPr>
        <w:t xml:space="preserve">hãn sinh thái </w:t>
      </w:r>
      <w:r w:rsidR="0092637E" w:rsidRPr="00850805">
        <w:rPr>
          <w:rFonts w:cs="Times New Roman"/>
          <w:szCs w:val="26"/>
        </w:rPr>
        <w:t>d</w:t>
      </w:r>
      <w:r w:rsidRPr="00850805">
        <w:rPr>
          <w:rFonts w:cs="Times New Roman"/>
          <w:szCs w:val="26"/>
        </w:rPr>
        <w:t>u lịch.</w:t>
      </w:r>
      <w:bookmarkStart w:id="12" w:name="_Toc463221011"/>
      <w:bookmarkEnd w:id="11"/>
      <w:r w:rsidR="0092637E" w:rsidRPr="00850805">
        <w:rPr>
          <w:rFonts w:cs="Times New Roman"/>
          <w:szCs w:val="26"/>
        </w:rPr>
        <w:t xml:space="preserve"> </w:t>
      </w:r>
      <w:r w:rsidRPr="00850805">
        <w:rPr>
          <w:rFonts w:cs="Times New Roman"/>
          <w:szCs w:val="26"/>
        </w:rPr>
        <w:t>Thê</w:t>
      </w:r>
      <w:r w:rsidR="0092637E" w:rsidRPr="00850805">
        <w:rPr>
          <w:rFonts w:cs="Times New Roman"/>
          <w:szCs w:val="26"/>
        </w:rPr>
        <w:t>m</w:t>
      </w:r>
      <w:r w:rsidRPr="00850805">
        <w:rPr>
          <w:rFonts w:cs="Times New Roman"/>
          <w:szCs w:val="26"/>
        </w:rPr>
        <w:t xml:space="preserve"> vào đó, Bộ </w:t>
      </w:r>
      <w:r w:rsidR="0092637E" w:rsidRPr="00850805">
        <w:rPr>
          <w:rFonts w:cs="Times New Roman"/>
          <w:szCs w:val="26"/>
        </w:rPr>
        <w:t>Tài nguyên và Môi trường cũng</w:t>
      </w:r>
      <w:r w:rsidRPr="00850805">
        <w:rPr>
          <w:rFonts w:cs="Times New Roman"/>
          <w:szCs w:val="26"/>
        </w:rPr>
        <w:t xml:space="preserve"> đang xây dựng Luật tiêu dùng xanh. Mặc dù Luật này hiện đang trong giai đoạn phát triển, nó rõ ràng cho thấy sự nỗ lực rất lớn của Chính phủ trong việc thúc đẩy việc thực hiện MSX ở Việt Nam.</w:t>
      </w:r>
      <w:bookmarkEnd w:id="12"/>
    </w:p>
    <w:p w:rsidR="008806B6" w:rsidRPr="0074731E" w:rsidRDefault="008806B6" w:rsidP="00CE2863">
      <w:pPr>
        <w:pStyle w:val="ListParagraph"/>
        <w:numPr>
          <w:ilvl w:val="0"/>
          <w:numId w:val="4"/>
        </w:numPr>
        <w:spacing w:before="120" w:after="120" w:line="340" w:lineRule="exact"/>
        <w:ind w:left="454" w:hanging="284"/>
        <w:rPr>
          <w:rFonts w:cs="Times New Roman"/>
          <w:b/>
          <w:i/>
          <w:szCs w:val="26"/>
        </w:rPr>
      </w:pPr>
      <w:r w:rsidRPr="00850805">
        <w:rPr>
          <w:rFonts w:cs="Times New Roman"/>
          <w:szCs w:val="26"/>
        </w:rPr>
        <w:t xml:space="preserve">Việc thực hiện MSC tập trung </w:t>
      </w:r>
      <w:proofErr w:type="gramStart"/>
      <w:r w:rsidRPr="00850805">
        <w:rPr>
          <w:rFonts w:cs="Times New Roman"/>
          <w:szCs w:val="26"/>
        </w:rPr>
        <w:t>theo</w:t>
      </w:r>
      <w:proofErr w:type="gramEnd"/>
      <w:r w:rsidRPr="00850805">
        <w:rPr>
          <w:rFonts w:cs="Times New Roman"/>
          <w:szCs w:val="26"/>
        </w:rPr>
        <w:t xml:space="preserve"> QĐ số 179/2007/QĐ-TTg ngày 26/11/2007 của TTCP đã tạo tiềm năng lớn cho việc thực hiện MSCX. Phương thức MSTT được Chính phủ đưa ra nhằm phòng chống tham nhũng, thực hành tiết kiệm, đảm bảo chất lượng của thiết bị và hàng hóa; và giúp làm giảm khối lượng công việc cho cán bộ MSC từ các cơ quan Trung ương. Thực tế là một cơ quan duy nhất có trách nhiệm mua sắm công cũng tạo ra cơ hội tốt để huy động các nguồn lực để nâng cao năng lực. Như đã đề cập trước đó, việc đào tạo chuyên nghiệp, các khóa học nâng cao năng lực về mua sắm công, mua sắm, đấu thầu và ký kết hợp đồng được quản lý tập trung bởi cơ quan này sẽ tạo ra tiềm năng lớn trong việc xác định, phát triển và lồng ghép các tiêu chí bền vững trong hồ sơ mời thầu.</w:t>
      </w:r>
    </w:p>
    <w:p w:rsidR="0074731E" w:rsidRPr="0074731E" w:rsidRDefault="0074731E" w:rsidP="00CE2863">
      <w:pPr>
        <w:pStyle w:val="ListParagraph"/>
        <w:numPr>
          <w:ilvl w:val="0"/>
          <w:numId w:val="4"/>
        </w:numPr>
        <w:spacing w:before="120" w:after="120" w:line="340" w:lineRule="exact"/>
        <w:ind w:left="454" w:hanging="284"/>
        <w:rPr>
          <w:rFonts w:cs="Times New Roman"/>
          <w:szCs w:val="26"/>
        </w:rPr>
      </w:pPr>
      <w:r w:rsidRPr="0074731E">
        <w:rPr>
          <w:rFonts w:cs="Times New Roman"/>
          <w:szCs w:val="26"/>
        </w:rPr>
        <w:t>Việt Nam đã là một trong các thành viên của Mạng lưới mua sắm xanh quốc tế (IGPN). Đây là một lợi thế lớn dành cho Việt Nam khi có thể học hỏi kinh nghiệm của các quốc gia đi trước, trao đổi về công nghệ và thông tin cũng như phát triển nguồn nhân lực phục vụ cho mua sắm xanh.</w:t>
      </w:r>
    </w:p>
    <w:p w:rsidR="008806B6" w:rsidRPr="00850805" w:rsidRDefault="001F1592" w:rsidP="00850805">
      <w:pPr>
        <w:spacing w:before="120" w:after="120" w:line="340" w:lineRule="exact"/>
        <w:rPr>
          <w:rFonts w:cs="Times New Roman"/>
          <w:b/>
          <w:i/>
          <w:szCs w:val="26"/>
        </w:rPr>
      </w:pPr>
      <w:r w:rsidRPr="00850805">
        <w:rPr>
          <w:rFonts w:cs="Times New Roman"/>
          <w:b/>
          <w:i/>
          <w:szCs w:val="26"/>
        </w:rPr>
        <w:t>4</w:t>
      </w:r>
      <w:r w:rsidR="008806B6" w:rsidRPr="00850805">
        <w:rPr>
          <w:rFonts w:cs="Times New Roman"/>
          <w:b/>
          <w:i/>
          <w:szCs w:val="26"/>
        </w:rPr>
        <w:t>.2. Khó khăn, trở ngại</w:t>
      </w:r>
    </w:p>
    <w:p w:rsidR="008806B6" w:rsidRPr="00850805" w:rsidRDefault="008806B6" w:rsidP="00850805">
      <w:pPr>
        <w:spacing w:before="120" w:after="120" w:line="340" w:lineRule="exact"/>
        <w:ind w:firstLine="737"/>
        <w:rPr>
          <w:rFonts w:cs="Times New Roman"/>
          <w:szCs w:val="26"/>
        </w:rPr>
      </w:pPr>
      <w:r w:rsidRPr="00850805">
        <w:rPr>
          <w:rFonts w:cs="Times New Roman"/>
          <w:bCs/>
          <w:szCs w:val="26"/>
        </w:rPr>
        <w:t>Bên cạnh các cơ hội đã nêu</w:t>
      </w:r>
      <w:r w:rsidRPr="00850805">
        <w:rPr>
          <w:rFonts w:cs="Times New Roman"/>
          <w:szCs w:val="26"/>
        </w:rPr>
        <w:t>, việc thực hiện</w:t>
      </w:r>
      <w:r w:rsidRPr="00850805">
        <w:rPr>
          <w:rFonts w:cs="Times New Roman"/>
          <w:bCs/>
          <w:szCs w:val="26"/>
        </w:rPr>
        <w:t xml:space="preserve"> MSCX</w:t>
      </w:r>
      <w:r w:rsidRPr="00850805">
        <w:rPr>
          <w:rFonts w:cs="Times New Roman"/>
          <w:szCs w:val="26"/>
        </w:rPr>
        <w:t xml:space="preserve"> trong thực tế ở Việt Nam phải đối mặt với nhiều trở ngạ</w:t>
      </w:r>
      <w:r w:rsidRPr="00850805">
        <w:rPr>
          <w:rFonts w:cs="Times New Roman"/>
          <w:bCs/>
          <w:szCs w:val="26"/>
        </w:rPr>
        <w:t>i, thách thức như sau:</w:t>
      </w:r>
    </w:p>
    <w:p w:rsidR="00850805" w:rsidRPr="00850805" w:rsidRDefault="00850805" w:rsidP="00CE2863">
      <w:pPr>
        <w:pStyle w:val="ListParagraph"/>
        <w:numPr>
          <w:ilvl w:val="0"/>
          <w:numId w:val="5"/>
        </w:numPr>
        <w:spacing w:before="120" w:after="120" w:line="340" w:lineRule="exact"/>
        <w:ind w:left="454" w:hanging="284"/>
        <w:rPr>
          <w:rFonts w:cs="Times New Roman"/>
          <w:bCs/>
          <w:szCs w:val="26"/>
        </w:rPr>
      </w:pPr>
      <w:r w:rsidRPr="00850805">
        <w:rPr>
          <w:rFonts w:cs="Times New Roman"/>
          <w:bCs/>
          <w:szCs w:val="26"/>
        </w:rPr>
        <w:t xml:space="preserve">Mặc dù có </w:t>
      </w:r>
      <w:bookmarkStart w:id="13" w:name="_Toc463221013"/>
      <w:r w:rsidR="008806B6" w:rsidRPr="00850805">
        <w:rPr>
          <w:rFonts w:cs="Times New Roman"/>
          <w:szCs w:val="26"/>
        </w:rPr>
        <w:t xml:space="preserve">nhiều chính sách và các văn bản quy phạm pháp luật liên quan đến </w:t>
      </w:r>
      <w:r w:rsidRPr="00850805">
        <w:rPr>
          <w:rFonts w:cs="Times New Roman"/>
          <w:bCs/>
          <w:szCs w:val="26"/>
        </w:rPr>
        <w:t>phát triển bền vững</w:t>
      </w:r>
      <w:r w:rsidR="008806B6" w:rsidRPr="00850805">
        <w:rPr>
          <w:rFonts w:cs="Times New Roman"/>
          <w:bCs/>
          <w:szCs w:val="26"/>
        </w:rPr>
        <w:t xml:space="preserve"> được ban hành tại</w:t>
      </w:r>
      <w:r w:rsidR="008806B6" w:rsidRPr="00850805">
        <w:rPr>
          <w:rFonts w:cs="Times New Roman"/>
          <w:szCs w:val="26"/>
        </w:rPr>
        <w:t xml:space="preserve"> Việt Nam, </w:t>
      </w:r>
      <w:r w:rsidRPr="00850805">
        <w:rPr>
          <w:rFonts w:cs="Times New Roman"/>
          <w:szCs w:val="26"/>
        </w:rPr>
        <w:t xml:space="preserve">và </w:t>
      </w:r>
      <w:r w:rsidR="008806B6" w:rsidRPr="00850805">
        <w:rPr>
          <w:rFonts w:cs="Times New Roman"/>
          <w:bCs/>
          <w:szCs w:val="26"/>
        </w:rPr>
        <w:t>đã</w:t>
      </w:r>
      <w:r w:rsidR="008806B6" w:rsidRPr="00850805">
        <w:rPr>
          <w:rFonts w:cs="Times New Roman"/>
          <w:szCs w:val="26"/>
        </w:rPr>
        <w:t xml:space="preserve"> tạo ra một bối cảnh thuận lợi cho việc </w:t>
      </w:r>
      <w:r w:rsidRPr="00850805">
        <w:rPr>
          <w:rFonts w:cs="Times New Roman"/>
          <w:bCs/>
          <w:szCs w:val="26"/>
        </w:rPr>
        <w:t>bảo vệ môi trường và thực hiện MSCX</w:t>
      </w:r>
      <w:r w:rsidR="008806B6" w:rsidRPr="00850805">
        <w:rPr>
          <w:rFonts w:cs="Times New Roman"/>
          <w:szCs w:val="26"/>
        </w:rPr>
        <w:t xml:space="preserve">. Tuy nhiên, </w:t>
      </w:r>
      <w:r w:rsidR="008806B6" w:rsidRPr="00850805">
        <w:rPr>
          <w:rFonts w:cs="Times New Roman"/>
          <w:bCs/>
          <w:szCs w:val="26"/>
        </w:rPr>
        <w:t xml:space="preserve">thiếu </w:t>
      </w:r>
      <w:r w:rsidR="008806B6" w:rsidRPr="00850805">
        <w:rPr>
          <w:rFonts w:cs="Times New Roman"/>
          <w:szCs w:val="26"/>
        </w:rPr>
        <w:t xml:space="preserve">sự phối hợp </w:t>
      </w:r>
      <w:r w:rsidR="008806B6" w:rsidRPr="00850805">
        <w:rPr>
          <w:rFonts w:cs="Times New Roman"/>
          <w:bCs/>
          <w:szCs w:val="26"/>
        </w:rPr>
        <w:t xml:space="preserve">giữa các cơ quan nhà nước và thiếu sự thực thi của các cơ nhà nước đối với các </w:t>
      </w:r>
      <w:r w:rsidR="008806B6" w:rsidRPr="00850805">
        <w:rPr>
          <w:rFonts w:cs="Times New Roman"/>
          <w:szCs w:val="26"/>
        </w:rPr>
        <w:t xml:space="preserve">văn bản quy phạm pháp luật đã trở thành một trong những trở ngại lớn nhất cho việc thực hiện </w:t>
      </w:r>
      <w:r w:rsidR="008806B6" w:rsidRPr="00850805">
        <w:rPr>
          <w:rFonts w:cs="Times New Roman"/>
          <w:bCs/>
          <w:szCs w:val="26"/>
        </w:rPr>
        <w:t>MSCX</w:t>
      </w:r>
      <w:r w:rsidR="008806B6" w:rsidRPr="00850805">
        <w:rPr>
          <w:rFonts w:cs="Times New Roman"/>
          <w:szCs w:val="26"/>
        </w:rPr>
        <w:t xml:space="preserve">. Lý do chính cho việc thực </w:t>
      </w:r>
      <w:r w:rsidR="008806B6" w:rsidRPr="00850805">
        <w:rPr>
          <w:rFonts w:cs="Times New Roman"/>
          <w:bCs/>
          <w:szCs w:val="26"/>
        </w:rPr>
        <w:t>thi</w:t>
      </w:r>
      <w:r w:rsidR="008806B6" w:rsidRPr="00850805">
        <w:rPr>
          <w:rFonts w:cs="Times New Roman"/>
          <w:szCs w:val="26"/>
        </w:rPr>
        <w:t xml:space="preserve"> thấp các khuôn khổ pháp lý là</w:t>
      </w:r>
      <w:r w:rsidR="008806B6" w:rsidRPr="00850805">
        <w:rPr>
          <w:rFonts w:cs="Times New Roman"/>
          <w:bCs/>
          <w:szCs w:val="26"/>
        </w:rPr>
        <w:t xml:space="preserve"> do</w:t>
      </w:r>
      <w:r w:rsidR="008806B6" w:rsidRPr="00850805">
        <w:rPr>
          <w:rFonts w:cs="Times New Roman"/>
          <w:szCs w:val="26"/>
        </w:rPr>
        <w:t xml:space="preserve"> thiếu yêu cầu pháp lý cho các nhà thầu để tiến hành </w:t>
      </w:r>
      <w:r w:rsidR="008806B6" w:rsidRPr="00850805">
        <w:rPr>
          <w:rFonts w:cs="Times New Roman"/>
          <w:bCs/>
          <w:szCs w:val="26"/>
        </w:rPr>
        <w:t>đ</w:t>
      </w:r>
      <w:r w:rsidR="008806B6" w:rsidRPr="00850805">
        <w:rPr>
          <w:rFonts w:cs="Times New Roman"/>
          <w:szCs w:val="26"/>
        </w:rPr>
        <w:t xml:space="preserve">ánh giá vòng đời của sản phẩm của họ khi tham gia đấu thầu </w:t>
      </w:r>
      <w:r w:rsidR="008806B6" w:rsidRPr="00850805">
        <w:rPr>
          <w:rFonts w:cs="Times New Roman"/>
          <w:bCs/>
          <w:szCs w:val="26"/>
        </w:rPr>
        <w:t>MSC</w:t>
      </w:r>
      <w:r w:rsidR="008806B6" w:rsidRPr="00850805">
        <w:rPr>
          <w:rFonts w:cs="Times New Roman"/>
          <w:szCs w:val="26"/>
        </w:rPr>
        <w:t>.</w:t>
      </w:r>
      <w:bookmarkEnd w:id="13"/>
      <w:r w:rsidR="008806B6" w:rsidRPr="00850805">
        <w:rPr>
          <w:rFonts w:cs="Times New Roman"/>
          <w:szCs w:val="26"/>
        </w:rPr>
        <w:t xml:space="preserve"> Hiện nay, không có điểm, khoản hoặc </w:t>
      </w:r>
      <w:r w:rsidR="008806B6" w:rsidRPr="00850805">
        <w:rPr>
          <w:rFonts w:cs="Times New Roman"/>
          <w:bCs/>
          <w:szCs w:val="26"/>
        </w:rPr>
        <w:t>mục nào</w:t>
      </w:r>
      <w:r w:rsidR="008806B6" w:rsidRPr="00850805">
        <w:rPr>
          <w:rFonts w:cs="Times New Roman"/>
          <w:szCs w:val="26"/>
        </w:rPr>
        <w:t xml:space="preserve"> trong </w:t>
      </w:r>
      <w:r w:rsidRPr="00850805">
        <w:rPr>
          <w:rFonts w:cs="Times New Roman"/>
          <w:szCs w:val="26"/>
        </w:rPr>
        <w:t>Luật Đấu thầu và Luật Bảo vệ Môi trường</w:t>
      </w:r>
      <w:r w:rsidR="008806B6" w:rsidRPr="00850805">
        <w:rPr>
          <w:rFonts w:cs="Times New Roman"/>
          <w:szCs w:val="26"/>
        </w:rPr>
        <w:t xml:space="preserve"> chỉ ra rằng các biện pháp </w:t>
      </w:r>
      <w:r w:rsidRPr="00850805">
        <w:rPr>
          <w:rFonts w:cs="Times New Roman"/>
          <w:szCs w:val="26"/>
        </w:rPr>
        <w:t>bảo vệ môi trường</w:t>
      </w:r>
      <w:r w:rsidR="008806B6" w:rsidRPr="00850805">
        <w:rPr>
          <w:rFonts w:cs="Times New Roman"/>
          <w:szCs w:val="26"/>
        </w:rPr>
        <w:t xml:space="preserve">, tiêu chuẩn bền vững, và tác động môi trường phải được tích hợp trong các tiêu chí đánh giá và lựa chọn nhà thầu. Các tiêu chuẩn môi trường hiện nay được xem là không </w:t>
      </w:r>
      <w:r w:rsidR="008806B6" w:rsidRPr="00850805">
        <w:rPr>
          <w:rFonts w:cs="Times New Roman"/>
          <w:bCs/>
          <w:szCs w:val="26"/>
        </w:rPr>
        <w:t>bắt buộc</w:t>
      </w:r>
      <w:r w:rsidR="008806B6" w:rsidRPr="00850805">
        <w:rPr>
          <w:rFonts w:cs="Times New Roman"/>
          <w:szCs w:val="26"/>
        </w:rPr>
        <w:t xml:space="preserve"> và thường bị bỏ quên trong nhiều trường hợp.</w:t>
      </w:r>
      <w:r w:rsidRPr="00850805">
        <w:rPr>
          <w:rFonts w:cs="Times New Roman"/>
          <w:bCs/>
          <w:szCs w:val="26"/>
        </w:rPr>
        <w:t xml:space="preserve"> </w:t>
      </w:r>
      <w:r w:rsidR="008806B6" w:rsidRPr="00850805">
        <w:rPr>
          <w:rFonts w:cs="Times New Roman"/>
          <w:szCs w:val="26"/>
        </w:rPr>
        <w:t xml:space="preserve">Sự kết nối lỏng lẻo và sự tương tác giữa các văn bản quy phạm pháp </w:t>
      </w:r>
      <w:r w:rsidR="008806B6" w:rsidRPr="00850805">
        <w:rPr>
          <w:rFonts w:cs="Times New Roman"/>
          <w:szCs w:val="26"/>
        </w:rPr>
        <w:lastRenderedPageBreak/>
        <w:t xml:space="preserve">luật, cũng như </w:t>
      </w:r>
      <w:r w:rsidR="008806B6" w:rsidRPr="00850805">
        <w:rPr>
          <w:rFonts w:cs="Times New Roman"/>
          <w:bCs/>
          <w:szCs w:val="26"/>
        </w:rPr>
        <w:t xml:space="preserve">thiếu </w:t>
      </w:r>
      <w:r w:rsidR="008806B6" w:rsidRPr="00850805">
        <w:rPr>
          <w:rFonts w:cs="Times New Roman"/>
          <w:szCs w:val="26"/>
        </w:rPr>
        <w:t xml:space="preserve">sự hợp tác và phối hợp giữa các Bộ có liên quan, đã trở thành vấn đề rất lớn hạn chế sự </w:t>
      </w:r>
      <w:r w:rsidR="008806B6" w:rsidRPr="00850805">
        <w:rPr>
          <w:rFonts w:cs="Times New Roman"/>
          <w:bCs/>
          <w:szCs w:val="26"/>
        </w:rPr>
        <w:t>thực hiện MSCX</w:t>
      </w:r>
      <w:r w:rsidR="008806B6" w:rsidRPr="00850805">
        <w:rPr>
          <w:rFonts w:cs="Times New Roman"/>
          <w:szCs w:val="26"/>
        </w:rPr>
        <w:t xml:space="preserve">. Các hoạt động mua sắm trong </w:t>
      </w:r>
      <w:r w:rsidR="008806B6" w:rsidRPr="00850805">
        <w:rPr>
          <w:rFonts w:cs="Times New Roman"/>
          <w:bCs/>
          <w:szCs w:val="26"/>
        </w:rPr>
        <w:t>MSC</w:t>
      </w:r>
      <w:r w:rsidR="008806B6" w:rsidRPr="00850805">
        <w:rPr>
          <w:rFonts w:cs="Times New Roman"/>
          <w:szCs w:val="26"/>
        </w:rPr>
        <w:t xml:space="preserve"> nói </w:t>
      </w:r>
      <w:proofErr w:type="gramStart"/>
      <w:r w:rsidR="008806B6" w:rsidRPr="00850805">
        <w:rPr>
          <w:rFonts w:cs="Times New Roman"/>
          <w:szCs w:val="26"/>
        </w:rPr>
        <w:t>chung</w:t>
      </w:r>
      <w:proofErr w:type="gramEnd"/>
      <w:r w:rsidR="008806B6" w:rsidRPr="00850805">
        <w:rPr>
          <w:rFonts w:cs="Times New Roman"/>
          <w:szCs w:val="26"/>
        </w:rPr>
        <w:t xml:space="preserve"> và </w:t>
      </w:r>
      <w:r w:rsidR="008806B6" w:rsidRPr="00850805">
        <w:rPr>
          <w:rFonts w:cs="Times New Roman"/>
          <w:bCs/>
          <w:szCs w:val="26"/>
        </w:rPr>
        <w:t>MSTT</w:t>
      </w:r>
      <w:r w:rsidR="008806B6" w:rsidRPr="00850805">
        <w:rPr>
          <w:rFonts w:cs="Times New Roman"/>
          <w:szCs w:val="26"/>
        </w:rPr>
        <w:t xml:space="preserve"> hiện đang được quản lý bởi Cục Quản lý Đấu thầu (Bộ </w:t>
      </w:r>
      <w:r w:rsidR="00BA1B42">
        <w:rPr>
          <w:rFonts w:cs="Times New Roman"/>
          <w:szCs w:val="26"/>
        </w:rPr>
        <w:t>KHĐT</w:t>
      </w:r>
      <w:r w:rsidR="008806B6" w:rsidRPr="00850805">
        <w:rPr>
          <w:rFonts w:cs="Times New Roman"/>
          <w:szCs w:val="26"/>
        </w:rPr>
        <w:t xml:space="preserve">). Trong khi đó, các hoạt động </w:t>
      </w:r>
      <w:r w:rsidR="00B51BF7">
        <w:rPr>
          <w:rFonts w:cs="Times New Roman"/>
          <w:szCs w:val="26"/>
        </w:rPr>
        <w:t>bảo vệ môi trường</w:t>
      </w:r>
      <w:r w:rsidR="008806B6" w:rsidRPr="00850805">
        <w:rPr>
          <w:rFonts w:cs="Times New Roman"/>
          <w:szCs w:val="26"/>
        </w:rPr>
        <w:t xml:space="preserve"> chủ yếu được quản lý bởi Cơ quan Môi trường Việt Nam và các cơ quan khác thuộc Bộ T</w:t>
      </w:r>
      <w:r w:rsidR="00B51BF7">
        <w:rPr>
          <w:rFonts w:cs="Times New Roman"/>
          <w:szCs w:val="26"/>
        </w:rPr>
        <w:t>ài nguyên và Môi trường</w:t>
      </w:r>
      <w:r w:rsidR="008806B6" w:rsidRPr="00850805">
        <w:rPr>
          <w:rFonts w:cs="Times New Roman"/>
          <w:szCs w:val="26"/>
        </w:rPr>
        <w:t xml:space="preserve">. Các nhãn sinh thái cũng được quản lý riêng của các ngành khác nhau (ví dụ như </w:t>
      </w:r>
      <w:r w:rsidR="008806B6" w:rsidRPr="00850805">
        <w:rPr>
          <w:rFonts w:cs="Times New Roman"/>
          <w:bCs/>
          <w:szCs w:val="26"/>
        </w:rPr>
        <w:t>nhãn xanh</w:t>
      </w:r>
      <w:r w:rsidR="008806B6" w:rsidRPr="00850805">
        <w:rPr>
          <w:rFonts w:cs="Times New Roman"/>
          <w:szCs w:val="26"/>
        </w:rPr>
        <w:t xml:space="preserve"> thuộc Bộ</w:t>
      </w:r>
      <w:r w:rsidR="008806B6" w:rsidRPr="00850805">
        <w:rPr>
          <w:rFonts w:cs="Times New Roman"/>
          <w:bCs/>
          <w:szCs w:val="26"/>
        </w:rPr>
        <w:t xml:space="preserve"> </w:t>
      </w:r>
      <w:r w:rsidR="00B51BF7">
        <w:rPr>
          <w:rFonts w:cs="Times New Roman"/>
          <w:bCs/>
          <w:szCs w:val="26"/>
        </w:rPr>
        <w:t>Tài nguyên và Môi trường</w:t>
      </w:r>
      <w:r w:rsidR="008806B6" w:rsidRPr="00850805">
        <w:rPr>
          <w:rFonts w:cs="Times New Roman"/>
          <w:szCs w:val="26"/>
        </w:rPr>
        <w:t xml:space="preserve">, </w:t>
      </w:r>
      <w:r w:rsidR="008806B6" w:rsidRPr="00850805">
        <w:rPr>
          <w:rFonts w:cs="Times New Roman"/>
          <w:bCs/>
          <w:szCs w:val="26"/>
        </w:rPr>
        <w:t xml:space="preserve">nhãn </w:t>
      </w:r>
      <w:r w:rsidR="008806B6" w:rsidRPr="00850805">
        <w:rPr>
          <w:rFonts w:cs="Times New Roman"/>
          <w:szCs w:val="26"/>
        </w:rPr>
        <w:t>năng lượng hiệu quả thuộc Bộ Công Thương với sự phối hợp thấp và thiếu một nền tảng</w:t>
      </w:r>
      <w:r w:rsidR="008806B6" w:rsidRPr="00850805">
        <w:rPr>
          <w:rFonts w:cs="Times New Roman"/>
          <w:bCs/>
          <w:szCs w:val="26"/>
        </w:rPr>
        <w:t xml:space="preserve"> và </w:t>
      </w:r>
      <w:r w:rsidR="008806B6" w:rsidRPr="00850805">
        <w:rPr>
          <w:rFonts w:cs="Times New Roman"/>
          <w:szCs w:val="26"/>
        </w:rPr>
        <w:t xml:space="preserve">chương trình quốc gia về ghi nhãn sinh thái. Sự phối hợp thấp của tất cả các Bộ, ngành trên được tạo ra rất nhiều khó khăn để tích hợp các tiêu chí bền vững vào các thủ tục </w:t>
      </w:r>
      <w:r w:rsidR="008806B6" w:rsidRPr="00850805">
        <w:rPr>
          <w:rFonts w:cs="Times New Roman"/>
          <w:bCs/>
          <w:szCs w:val="26"/>
        </w:rPr>
        <w:t>MSC</w:t>
      </w:r>
      <w:r w:rsidR="008806B6" w:rsidRPr="00850805">
        <w:rPr>
          <w:rFonts w:cs="Times New Roman"/>
          <w:szCs w:val="26"/>
        </w:rPr>
        <w:t>.</w:t>
      </w:r>
    </w:p>
    <w:p w:rsidR="0070182F" w:rsidRDefault="008806B6" w:rsidP="0074731E">
      <w:pPr>
        <w:pStyle w:val="ListParagraph"/>
        <w:numPr>
          <w:ilvl w:val="0"/>
          <w:numId w:val="5"/>
        </w:numPr>
        <w:spacing w:before="120" w:after="120" w:line="340" w:lineRule="exact"/>
        <w:ind w:left="454" w:hanging="284"/>
        <w:rPr>
          <w:rFonts w:cs="Times New Roman"/>
          <w:bCs/>
          <w:szCs w:val="26"/>
        </w:rPr>
      </w:pPr>
      <w:r w:rsidRPr="00850805">
        <w:rPr>
          <w:rFonts w:cs="Times New Roman"/>
          <w:szCs w:val="26"/>
        </w:rPr>
        <w:t xml:space="preserve">Kinh nghiệm quốc tế cho thấy việc thực hiện các quy định </w:t>
      </w:r>
      <w:r w:rsidR="00B51BF7">
        <w:rPr>
          <w:rFonts w:cs="Times New Roman"/>
          <w:szCs w:val="26"/>
        </w:rPr>
        <w:t>bảo vệ môi trường</w:t>
      </w:r>
      <w:r w:rsidRPr="00850805">
        <w:rPr>
          <w:rFonts w:cs="Times New Roman"/>
          <w:szCs w:val="26"/>
        </w:rPr>
        <w:t xml:space="preserve"> đòi hỏi phải có nguồn lực bổ </w:t>
      </w:r>
      <w:proofErr w:type="gramStart"/>
      <w:r w:rsidRPr="00850805">
        <w:rPr>
          <w:rFonts w:cs="Times New Roman"/>
          <w:szCs w:val="26"/>
        </w:rPr>
        <w:t>sung,</w:t>
      </w:r>
      <w:proofErr w:type="gramEnd"/>
      <w:r w:rsidRPr="00850805">
        <w:rPr>
          <w:rFonts w:cs="Times New Roman"/>
          <w:szCs w:val="26"/>
        </w:rPr>
        <w:t xml:space="preserve"> bao gồm cả con người và nguồn lực tài chính. </w:t>
      </w:r>
      <w:r w:rsidRPr="00850805">
        <w:rPr>
          <w:rFonts w:cs="Times New Roman"/>
          <w:bCs/>
          <w:szCs w:val="26"/>
        </w:rPr>
        <w:t xml:space="preserve">Hiện </w:t>
      </w:r>
      <w:r w:rsidRPr="00850805">
        <w:rPr>
          <w:rFonts w:cs="Times New Roman"/>
          <w:szCs w:val="26"/>
        </w:rPr>
        <w:t>Việt Nam thiếu cả hai nguồn lực</w:t>
      </w:r>
      <w:r w:rsidRPr="00850805">
        <w:rPr>
          <w:rFonts w:cs="Times New Roman"/>
          <w:bCs/>
          <w:szCs w:val="26"/>
        </w:rPr>
        <w:t xml:space="preserve"> này, cụ thể </w:t>
      </w:r>
      <w:r w:rsidRPr="00850805">
        <w:rPr>
          <w:rFonts w:cs="Times New Roman"/>
          <w:szCs w:val="26"/>
        </w:rPr>
        <w:t xml:space="preserve">không có ngân sách bổ sung để thực hiện </w:t>
      </w:r>
      <w:r w:rsidRPr="00850805">
        <w:rPr>
          <w:rFonts w:cs="Times New Roman"/>
          <w:bCs/>
          <w:szCs w:val="26"/>
        </w:rPr>
        <w:t xml:space="preserve">MSCX, và thiếu </w:t>
      </w:r>
      <w:r w:rsidRPr="00850805">
        <w:rPr>
          <w:rFonts w:cs="Times New Roman"/>
          <w:szCs w:val="26"/>
        </w:rPr>
        <w:t xml:space="preserve">nhận thức và năng lực về làm thế nào để tích hợp các tiêu chí bền vững vào </w:t>
      </w:r>
      <w:r w:rsidRPr="00850805">
        <w:rPr>
          <w:rFonts w:cs="Times New Roman"/>
          <w:bCs/>
          <w:szCs w:val="26"/>
        </w:rPr>
        <w:t>MSC</w:t>
      </w:r>
      <w:r w:rsidRPr="00850805">
        <w:rPr>
          <w:rFonts w:cs="Times New Roman"/>
          <w:szCs w:val="26"/>
        </w:rPr>
        <w:t>.</w:t>
      </w:r>
      <w:r w:rsidRPr="00850805">
        <w:rPr>
          <w:rFonts w:cs="Times New Roman"/>
          <w:bCs/>
          <w:szCs w:val="26"/>
        </w:rPr>
        <w:t xml:space="preserve"> </w:t>
      </w:r>
      <w:r w:rsidRPr="00850805">
        <w:rPr>
          <w:rFonts w:cs="Times New Roman"/>
          <w:szCs w:val="26"/>
        </w:rPr>
        <w:t xml:space="preserve">Các cán bộ mua sắm của tất cả các tổ chức đã tham gia các khóa đào tạo về </w:t>
      </w:r>
      <w:r w:rsidRPr="00850805">
        <w:rPr>
          <w:rFonts w:cs="Times New Roman"/>
          <w:bCs/>
          <w:szCs w:val="26"/>
        </w:rPr>
        <w:t xml:space="preserve">mua sắm, </w:t>
      </w:r>
      <w:r w:rsidRPr="00850805">
        <w:rPr>
          <w:rFonts w:cs="Times New Roman"/>
          <w:szCs w:val="26"/>
        </w:rPr>
        <w:t>đấu thầ</w:t>
      </w:r>
      <w:r w:rsidRPr="00850805">
        <w:rPr>
          <w:rFonts w:cs="Times New Roman"/>
          <w:bCs/>
          <w:szCs w:val="26"/>
        </w:rPr>
        <w:t xml:space="preserve">u </w:t>
      </w:r>
      <w:r w:rsidRPr="00850805">
        <w:rPr>
          <w:rFonts w:cs="Times New Roman"/>
          <w:szCs w:val="26"/>
        </w:rPr>
        <w:t xml:space="preserve">và ký kết hợp đồng </w:t>
      </w:r>
      <w:r w:rsidRPr="00850805">
        <w:rPr>
          <w:rFonts w:cs="Times New Roman"/>
          <w:bCs/>
          <w:szCs w:val="26"/>
        </w:rPr>
        <w:t xml:space="preserve">được </w:t>
      </w:r>
      <w:r w:rsidRPr="00850805">
        <w:rPr>
          <w:rFonts w:cs="Times New Roman"/>
          <w:szCs w:val="26"/>
        </w:rPr>
        <w:t xml:space="preserve">cung cấp bởi các tổ chức </w:t>
      </w:r>
      <w:r w:rsidRPr="00850805">
        <w:rPr>
          <w:rFonts w:cs="Times New Roman"/>
          <w:bCs/>
          <w:szCs w:val="26"/>
        </w:rPr>
        <w:t xml:space="preserve">đào tạo </w:t>
      </w:r>
      <w:r w:rsidRPr="00850805">
        <w:rPr>
          <w:rFonts w:cs="Times New Roman"/>
          <w:szCs w:val="26"/>
        </w:rPr>
        <w:t xml:space="preserve">chuyên về </w:t>
      </w:r>
      <w:r w:rsidRPr="00850805">
        <w:rPr>
          <w:rFonts w:cs="Times New Roman"/>
          <w:bCs/>
          <w:szCs w:val="26"/>
        </w:rPr>
        <w:t>MSC</w:t>
      </w:r>
      <w:r w:rsidRPr="00850805">
        <w:rPr>
          <w:rFonts w:cs="Times New Roman"/>
          <w:szCs w:val="26"/>
        </w:rPr>
        <w:t xml:space="preserve"> và có xác nhận của Cục Quản lý </w:t>
      </w:r>
      <w:r w:rsidRPr="00850805">
        <w:rPr>
          <w:rFonts w:cs="Times New Roman"/>
          <w:bCs/>
          <w:szCs w:val="26"/>
        </w:rPr>
        <w:t>mua sắm</w:t>
      </w:r>
      <w:r w:rsidRPr="00850805">
        <w:rPr>
          <w:rFonts w:cs="Times New Roman"/>
          <w:szCs w:val="26"/>
        </w:rPr>
        <w:t xml:space="preserve">. Tuy nhiên, nội dung của các khóa học đào tạo đã được giới hạn trong phạm </w:t>
      </w:r>
      <w:proofErr w:type="gramStart"/>
      <w:r w:rsidRPr="00850805">
        <w:rPr>
          <w:rFonts w:cs="Times New Roman"/>
          <w:szCs w:val="26"/>
        </w:rPr>
        <w:t>vi</w:t>
      </w:r>
      <w:proofErr w:type="gramEnd"/>
      <w:r w:rsidRPr="00850805">
        <w:rPr>
          <w:rFonts w:cs="Times New Roman"/>
          <w:szCs w:val="26"/>
        </w:rPr>
        <w:t xml:space="preserve"> của hướng dẫn thủ tục đấu thầu và các văn bản quy phạm pháp luật có liên quan. Các nội dung </w:t>
      </w:r>
      <w:r w:rsidRPr="00850805">
        <w:rPr>
          <w:rFonts w:cs="Times New Roman"/>
          <w:bCs/>
          <w:szCs w:val="26"/>
        </w:rPr>
        <w:t xml:space="preserve">giới thiệu </w:t>
      </w:r>
      <w:r w:rsidRPr="00850805">
        <w:rPr>
          <w:rFonts w:cs="Times New Roman"/>
          <w:szCs w:val="26"/>
        </w:rPr>
        <w:t xml:space="preserve">về </w:t>
      </w:r>
      <w:r w:rsidRPr="00850805">
        <w:rPr>
          <w:rFonts w:cs="Times New Roman"/>
          <w:bCs/>
          <w:szCs w:val="26"/>
        </w:rPr>
        <w:t>MSCX</w:t>
      </w:r>
      <w:r w:rsidRPr="00850805">
        <w:rPr>
          <w:rFonts w:cs="Times New Roman"/>
          <w:szCs w:val="26"/>
        </w:rPr>
        <w:t xml:space="preserve">, </w:t>
      </w:r>
      <w:r w:rsidRPr="00850805">
        <w:rPr>
          <w:rFonts w:cs="Times New Roman"/>
          <w:bCs/>
          <w:szCs w:val="26"/>
        </w:rPr>
        <w:t xml:space="preserve">hay </w:t>
      </w:r>
      <w:r w:rsidRPr="00850805">
        <w:rPr>
          <w:rFonts w:cs="Times New Roman"/>
          <w:szCs w:val="26"/>
        </w:rPr>
        <w:t xml:space="preserve">tích hợp các tiêu chí bền vững vào </w:t>
      </w:r>
      <w:r w:rsidRPr="00850805">
        <w:rPr>
          <w:rFonts w:cs="Times New Roman"/>
          <w:bCs/>
          <w:szCs w:val="26"/>
        </w:rPr>
        <w:t>MSC</w:t>
      </w:r>
      <w:r w:rsidRPr="00850805">
        <w:rPr>
          <w:rFonts w:cs="Times New Roman"/>
          <w:szCs w:val="26"/>
        </w:rPr>
        <w:t xml:space="preserve"> đã không được đề cập trong các khóa học đào tạo. Mặc dù các cán bộ mua sắm bày tỏ nhận thức của họ về tầm quan trọng của </w:t>
      </w:r>
      <w:r w:rsidR="00B51BF7">
        <w:rPr>
          <w:rFonts w:cs="Times New Roman"/>
          <w:szCs w:val="26"/>
        </w:rPr>
        <w:t>bảo vệ môi trường</w:t>
      </w:r>
      <w:r w:rsidRPr="00850805">
        <w:rPr>
          <w:rFonts w:cs="Times New Roman"/>
          <w:szCs w:val="26"/>
        </w:rPr>
        <w:t xml:space="preserve"> và lợi ích trong việc thực hiện </w:t>
      </w:r>
      <w:r w:rsidRPr="00850805">
        <w:rPr>
          <w:rFonts w:cs="Times New Roman"/>
          <w:bCs/>
          <w:szCs w:val="26"/>
        </w:rPr>
        <w:t>MSCX</w:t>
      </w:r>
      <w:r w:rsidRPr="00850805">
        <w:rPr>
          <w:rFonts w:cs="Times New Roman"/>
          <w:szCs w:val="26"/>
        </w:rPr>
        <w:t>, không có hướng dẫn về việc tích hợp các tiêu chí bền vững vào MSC có sẵn để tham khả</w:t>
      </w:r>
      <w:r w:rsidRPr="00850805">
        <w:rPr>
          <w:rFonts w:cs="Times New Roman"/>
          <w:bCs/>
          <w:szCs w:val="26"/>
        </w:rPr>
        <w:t>o.</w:t>
      </w:r>
      <w:r w:rsidR="0070182F">
        <w:rPr>
          <w:rFonts w:cs="Times New Roman"/>
          <w:bCs/>
          <w:szCs w:val="26"/>
        </w:rPr>
        <w:t xml:space="preserve"> </w:t>
      </w:r>
    </w:p>
    <w:p w:rsidR="008806B6" w:rsidRPr="00850805" w:rsidRDefault="0070182F" w:rsidP="00CE2863">
      <w:pPr>
        <w:pStyle w:val="ListParagraph"/>
        <w:numPr>
          <w:ilvl w:val="0"/>
          <w:numId w:val="5"/>
        </w:numPr>
        <w:spacing w:before="120" w:after="120" w:line="340" w:lineRule="exact"/>
        <w:ind w:left="454" w:hanging="284"/>
        <w:rPr>
          <w:rFonts w:cs="Times New Roman"/>
          <w:bCs/>
          <w:szCs w:val="26"/>
        </w:rPr>
      </w:pPr>
      <w:r>
        <w:rPr>
          <w:rFonts w:cs="Times New Roman"/>
          <w:bCs/>
          <w:szCs w:val="26"/>
        </w:rPr>
        <w:t>Bên cạnh đó, c</w:t>
      </w:r>
      <w:r w:rsidR="008806B6" w:rsidRPr="00850805">
        <w:rPr>
          <w:rFonts w:cs="Times New Roman"/>
          <w:szCs w:val="26"/>
        </w:rPr>
        <w:t xml:space="preserve">hi phí cho việc áp dụng </w:t>
      </w:r>
      <w:r w:rsidR="008806B6" w:rsidRPr="00850805">
        <w:rPr>
          <w:rFonts w:cs="Times New Roman"/>
          <w:bCs/>
          <w:szCs w:val="26"/>
        </w:rPr>
        <w:t>MSCX</w:t>
      </w:r>
      <w:r w:rsidR="008806B6" w:rsidRPr="00850805">
        <w:rPr>
          <w:rFonts w:cs="Times New Roman"/>
          <w:szCs w:val="26"/>
        </w:rPr>
        <w:t xml:space="preserve"> được cảm nhận như là cao hơn nhiều so với việc mua sắm các sản phẩm và dịch vụ thông thường hiện đang được tiến hành tại các văn phòng </w:t>
      </w:r>
      <w:r w:rsidR="00850805" w:rsidRPr="00850805">
        <w:rPr>
          <w:rFonts w:cs="Times New Roman"/>
          <w:szCs w:val="26"/>
        </w:rPr>
        <w:t>cơ quan Trung ương</w:t>
      </w:r>
      <w:r w:rsidR="008806B6" w:rsidRPr="00850805">
        <w:rPr>
          <w:rFonts w:cs="Times New Roman"/>
          <w:szCs w:val="26"/>
        </w:rPr>
        <w:t>. Điều này có thể ảnh hưởng lớn đến kế hoạch chi hàng năm của tổ chức và có thể tạo ra nhiều công việc cho các nhà hoạch định ngân sách.</w:t>
      </w:r>
    </w:p>
    <w:p w:rsidR="008806B6" w:rsidRPr="00850805" w:rsidRDefault="001F1592" w:rsidP="00850805">
      <w:pPr>
        <w:pStyle w:val="2"/>
        <w:keepNext w:val="0"/>
        <w:keepLines w:val="0"/>
        <w:widowControl w:val="0"/>
        <w:tabs>
          <w:tab w:val="left" w:pos="742"/>
          <w:tab w:val="left" w:pos="896"/>
        </w:tabs>
        <w:spacing w:before="120" w:after="120" w:line="340" w:lineRule="exact"/>
        <w:rPr>
          <w:color w:val="auto"/>
          <w:sz w:val="26"/>
          <w:szCs w:val="26"/>
          <w:lang w:val="en-US"/>
        </w:rPr>
      </w:pPr>
      <w:r w:rsidRPr="00850805">
        <w:rPr>
          <w:color w:val="auto"/>
          <w:sz w:val="26"/>
          <w:szCs w:val="26"/>
          <w:lang w:val="en-US"/>
        </w:rPr>
        <w:t>5</w:t>
      </w:r>
      <w:r w:rsidR="0066359E" w:rsidRPr="00850805">
        <w:rPr>
          <w:color w:val="auto"/>
          <w:sz w:val="26"/>
          <w:szCs w:val="26"/>
          <w:lang w:val="en-US"/>
        </w:rPr>
        <w:t xml:space="preserve">. Một số </w:t>
      </w:r>
      <w:r w:rsidR="00850805" w:rsidRPr="00850805">
        <w:rPr>
          <w:color w:val="auto"/>
          <w:sz w:val="26"/>
          <w:szCs w:val="26"/>
          <w:lang w:val="en-US"/>
        </w:rPr>
        <w:t xml:space="preserve">khuyến nghị </w:t>
      </w:r>
    </w:p>
    <w:p w:rsidR="004B2C61" w:rsidRDefault="00097900" w:rsidP="004B2C61">
      <w:pPr>
        <w:spacing w:before="120" w:after="120" w:line="340" w:lineRule="exact"/>
        <w:ind w:firstLine="720"/>
        <w:rPr>
          <w:rFonts w:cs="Times New Roman"/>
          <w:szCs w:val="26"/>
          <w:lang w:val="cs-CZ"/>
        </w:rPr>
      </w:pPr>
      <w:r>
        <w:rPr>
          <w:rFonts w:cs="Times New Roman"/>
          <w:szCs w:val="26"/>
          <w:lang w:val="cs-CZ"/>
        </w:rPr>
        <w:t>Trên cơ sở xem xét kinh nghiệm của Nhật Bản, thực trạng cơ chế, chính sách về MSCX tại Việt Nam, nghiên cứu đưa ra một số khuyến nghị nhằm góp phần thúc đẩy việc thực hiện MSCX tại Việt Nam như sau:</w:t>
      </w:r>
    </w:p>
    <w:p w:rsidR="004B2C61" w:rsidRDefault="004B2C61" w:rsidP="00CE2863">
      <w:pPr>
        <w:pStyle w:val="ListParagraph"/>
        <w:numPr>
          <w:ilvl w:val="0"/>
          <w:numId w:val="7"/>
        </w:numPr>
        <w:spacing w:before="120" w:after="120" w:line="340" w:lineRule="exact"/>
        <w:ind w:left="454" w:hanging="284"/>
        <w:rPr>
          <w:rFonts w:cs="Times New Roman"/>
          <w:szCs w:val="26"/>
          <w:lang w:val="cs-CZ"/>
        </w:rPr>
      </w:pPr>
      <w:r>
        <w:rPr>
          <w:rFonts w:cs="Times New Roman"/>
          <w:szCs w:val="26"/>
          <w:lang w:val="cs-CZ"/>
        </w:rPr>
        <w:t>Cần sớm xây dựng v</w:t>
      </w:r>
      <w:r w:rsidR="00620BA5">
        <w:rPr>
          <w:rFonts w:cs="Times New Roman"/>
          <w:szCs w:val="26"/>
          <w:lang w:val="cs-CZ"/>
        </w:rPr>
        <w:t>à ban hành</w:t>
      </w:r>
      <w:r>
        <w:rPr>
          <w:rFonts w:cs="Times New Roman"/>
          <w:szCs w:val="26"/>
          <w:lang w:val="cs-CZ"/>
        </w:rPr>
        <w:t xml:space="preserve"> Luật MSX nói chung và MSCX nói riêng;   </w:t>
      </w:r>
    </w:p>
    <w:p w:rsidR="004B2C61" w:rsidRDefault="008806B6" w:rsidP="00CE2863">
      <w:pPr>
        <w:pStyle w:val="ListParagraph"/>
        <w:numPr>
          <w:ilvl w:val="0"/>
          <w:numId w:val="7"/>
        </w:numPr>
        <w:spacing w:before="120" w:after="120" w:line="340" w:lineRule="exact"/>
        <w:ind w:left="454" w:hanging="284"/>
        <w:rPr>
          <w:rFonts w:cs="Times New Roman"/>
          <w:szCs w:val="26"/>
          <w:lang w:val="cs-CZ"/>
        </w:rPr>
      </w:pPr>
      <w:r w:rsidRPr="004B2C61">
        <w:rPr>
          <w:rFonts w:eastAsia="Times New Roman" w:cs="Times New Roman"/>
          <w:szCs w:val="26"/>
          <w:lang w:val="cs-CZ"/>
        </w:rPr>
        <w:t xml:space="preserve">Chính phủ nên xem xét các chính sách ưu đãi đối với các doanh nghiệp sản xuất </w:t>
      </w:r>
      <w:r w:rsidR="00282342">
        <w:rPr>
          <w:rFonts w:eastAsia="Times New Roman" w:cs="Times New Roman"/>
          <w:szCs w:val="26"/>
          <w:lang w:val="cs-CZ"/>
        </w:rPr>
        <w:t>SPX</w:t>
      </w:r>
      <w:r w:rsidRPr="004B2C61">
        <w:rPr>
          <w:rFonts w:eastAsia="Times New Roman" w:cs="Times New Roman"/>
          <w:szCs w:val="26"/>
          <w:lang w:val="cs-CZ"/>
        </w:rPr>
        <w:t xml:space="preserve"> nhằm khuyến khích và mở rộng quy mô sản xuất kinh doanh các sản phẩm này. </w:t>
      </w:r>
      <w:r w:rsidRPr="004B2C61">
        <w:rPr>
          <w:rFonts w:cs="Times New Roman"/>
          <w:szCs w:val="26"/>
          <w:lang w:val="cs-CZ"/>
        </w:rPr>
        <w:t xml:space="preserve">Đánh thuế môi trường vào nhà sản xuất để khuyến khích những doanh nghiệp sản xuất nhiều hơn các </w:t>
      </w:r>
      <w:r w:rsidR="00282342">
        <w:rPr>
          <w:rFonts w:cs="Times New Roman"/>
          <w:szCs w:val="26"/>
          <w:lang w:val="cs-CZ"/>
        </w:rPr>
        <w:t>SPX</w:t>
      </w:r>
      <w:r w:rsidRPr="004B2C61">
        <w:rPr>
          <w:rFonts w:cs="Times New Roman"/>
          <w:szCs w:val="26"/>
          <w:lang w:val="cs-CZ"/>
        </w:rPr>
        <w:t xml:space="preserve">. Với nhà sản xuất, phải có hỗ trợ, giảm thuế đầu vào đối với những </w:t>
      </w:r>
      <w:r w:rsidR="00282342">
        <w:rPr>
          <w:rFonts w:cs="Times New Roman"/>
          <w:szCs w:val="26"/>
          <w:lang w:val="cs-CZ"/>
        </w:rPr>
        <w:t>SPX</w:t>
      </w:r>
      <w:r w:rsidRPr="004B2C61">
        <w:rPr>
          <w:rFonts w:cs="Times New Roman"/>
          <w:szCs w:val="26"/>
          <w:lang w:val="cs-CZ"/>
        </w:rPr>
        <w:t xml:space="preserve"> để không làm chênh lệch giá cũng như giúp họ thay đổi công nghệ, giúp cho chi phí của doanh nghiệp không bị đẩy lên cao.</w:t>
      </w:r>
      <w:r w:rsidR="004B2C61">
        <w:rPr>
          <w:rFonts w:cs="Times New Roman"/>
          <w:szCs w:val="26"/>
          <w:lang w:val="cs-CZ"/>
        </w:rPr>
        <w:t xml:space="preserve"> Bên cạnh đó, c</w:t>
      </w:r>
      <w:r w:rsidR="004B2C61" w:rsidRPr="00850805">
        <w:rPr>
          <w:rFonts w:cs="Times New Roman"/>
          <w:szCs w:val="26"/>
        </w:rPr>
        <w:t xml:space="preserve">ần </w:t>
      </w:r>
      <w:r w:rsidR="004B2C61" w:rsidRPr="00850805">
        <w:rPr>
          <w:rFonts w:cs="Times New Roman"/>
          <w:szCs w:val="26"/>
        </w:rPr>
        <w:lastRenderedPageBreak/>
        <w:t>có các chính sách khuy</w:t>
      </w:r>
      <w:r w:rsidR="004B2C61" w:rsidRPr="00850805">
        <w:rPr>
          <w:rFonts w:eastAsia="MingLiU" w:cs="Times New Roman"/>
          <w:szCs w:val="26"/>
        </w:rPr>
        <w:t>ế</w:t>
      </w:r>
      <w:r w:rsidR="004B2C61" w:rsidRPr="00850805">
        <w:rPr>
          <w:rFonts w:cs="Times New Roman"/>
          <w:szCs w:val="26"/>
        </w:rPr>
        <w:t>n khích thực hiện các chuỗi giá trị xanh đối với các doanh nghiệp, hộ gia đình tham gia vào chuỗi cung ứng sản phẩm để đảm bảo thực hiện quá trình sản xuất, phân phối và tiêu thụ sản phẩm theo hướng xanh hoá.</w:t>
      </w:r>
    </w:p>
    <w:p w:rsidR="004B2C61" w:rsidRPr="004B2C61" w:rsidRDefault="004B2C61" w:rsidP="00CE2863">
      <w:pPr>
        <w:pStyle w:val="ListParagraph"/>
        <w:numPr>
          <w:ilvl w:val="0"/>
          <w:numId w:val="7"/>
        </w:numPr>
        <w:spacing w:before="120" w:after="120" w:line="340" w:lineRule="exact"/>
        <w:ind w:left="454" w:hanging="284"/>
        <w:rPr>
          <w:rFonts w:cs="Times New Roman"/>
          <w:szCs w:val="26"/>
          <w:lang w:val="cs-CZ"/>
        </w:rPr>
      </w:pPr>
      <w:r>
        <w:rPr>
          <w:rFonts w:cs="Times New Roman"/>
          <w:szCs w:val="26"/>
          <w:lang w:val="cs-CZ"/>
        </w:rPr>
        <w:t xml:space="preserve">Cần nâng cao nhận thức của cá nhân và tổ chức </w:t>
      </w:r>
      <w:r>
        <w:rPr>
          <w:rFonts w:eastAsia="Times New Roman" w:cs="Times New Roman"/>
          <w:szCs w:val="26"/>
          <w:lang w:val="cs-CZ"/>
        </w:rPr>
        <w:t>về MSCX</w:t>
      </w:r>
      <w:r w:rsidR="008806B6" w:rsidRPr="004B2C61">
        <w:rPr>
          <w:rFonts w:eastAsia="Times New Roman" w:cs="Times New Roman"/>
          <w:szCs w:val="26"/>
          <w:lang w:val="cs-CZ"/>
        </w:rPr>
        <w:t xml:space="preserve">. Đặc biệt chú trọng đào tạo trong các cơ quan trực thuộc Chính phủ về MSC bền vững theo hướng tăng cường mở các lớp đào tạo, tập huấn và nghiên </w:t>
      </w:r>
      <w:r>
        <w:rPr>
          <w:rFonts w:eastAsia="Times New Roman" w:cs="Times New Roman"/>
          <w:szCs w:val="26"/>
          <w:lang w:val="cs-CZ"/>
        </w:rPr>
        <w:t>cứu học tập kinh nghiệm quốc tế.</w:t>
      </w:r>
    </w:p>
    <w:p w:rsidR="004B2C61" w:rsidRPr="004B2C61" w:rsidRDefault="008806B6" w:rsidP="00CE2863">
      <w:pPr>
        <w:pStyle w:val="ListParagraph"/>
        <w:numPr>
          <w:ilvl w:val="0"/>
          <w:numId w:val="7"/>
        </w:numPr>
        <w:spacing w:before="120" w:after="120" w:line="340" w:lineRule="exact"/>
        <w:ind w:left="454" w:hanging="284"/>
        <w:rPr>
          <w:rFonts w:cs="Times New Roman"/>
          <w:szCs w:val="26"/>
          <w:lang w:val="cs-CZ"/>
        </w:rPr>
      </w:pPr>
      <w:r w:rsidRPr="004B2C61">
        <w:rPr>
          <w:rFonts w:cs="Times New Roman"/>
          <w:szCs w:val="26"/>
        </w:rPr>
        <w:t>Cần có một định ngh</w:t>
      </w:r>
      <w:r w:rsidRPr="004B2C61">
        <w:rPr>
          <w:rFonts w:eastAsia="MS Gothic" w:cs="Times New Roman"/>
          <w:szCs w:val="26"/>
        </w:rPr>
        <w:t>ĩ</w:t>
      </w:r>
      <w:r w:rsidRPr="004B2C61">
        <w:rPr>
          <w:rFonts w:cs="Times New Roman"/>
          <w:szCs w:val="26"/>
        </w:rPr>
        <w:t>a thống nhất v</w:t>
      </w:r>
      <w:r w:rsidRPr="004B2C61">
        <w:rPr>
          <w:rFonts w:eastAsia="MingLiU" w:cs="Times New Roman"/>
          <w:szCs w:val="26"/>
        </w:rPr>
        <w:t>ề</w:t>
      </w:r>
      <w:r w:rsidRPr="004B2C61">
        <w:rPr>
          <w:rFonts w:cs="Times New Roman"/>
          <w:szCs w:val="26"/>
        </w:rPr>
        <w:t xml:space="preserve"> MSX ở cấp quốc gia. Trên cơ sở đó, hoàn thiện hệ thống </w:t>
      </w:r>
      <w:r w:rsidRPr="004B2C61">
        <w:rPr>
          <w:rStyle w:val="Bodytext2Italic"/>
          <w:rFonts w:eastAsia="Malgun Gothic"/>
          <w:i w:val="0"/>
        </w:rPr>
        <w:t>các tiêu chuẩn về</w:t>
      </w:r>
      <w:r w:rsidRPr="004B2C61">
        <w:rPr>
          <w:rStyle w:val="Bodytext2Italic"/>
          <w:rFonts w:eastAsia="Malgun Gothic"/>
        </w:rPr>
        <w:t xml:space="preserve"> </w:t>
      </w:r>
      <w:r w:rsidRPr="004B2C61">
        <w:rPr>
          <w:rStyle w:val="Bodytext2Italic"/>
          <w:rFonts w:eastAsia="Malgun Gothic"/>
          <w:i w:val="0"/>
        </w:rPr>
        <w:t>MSX</w:t>
      </w:r>
      <w:r w:rsidRPr="004B2C61">
        <w:rPr>
          <w:rFonts w:cs="Times New Roman"/>
          <w:i/>
          <w:szCs w:val="26"/>
        </w:rPr>
        <w:t xml:space="preserve"> </w:t>
      </w:r>
      <w:r w:rsidRPr="004B2C61">
        <w:rPr>
          <w:rFonts w:cs="Times New Roman"/>
          <w:szCs w:val="26"/>
        </w:rPr>
        <w:t>c</w:t>
      </w:r>
      <w:r w:rsidRPr="004B2C61">
        <w:rPr>
          <w:rFonts w:eastAsia="MS Gothic" w:cs="Times New Roman"/>
          <w:szCs w:val="26"/>
        </w:rPr>
        <w:t>ũ</w:t>
      </w:r>
      <w:r w:rsidRPr="004B2C61">
        <w:rPr>
          <w:rFonts w:cs="Times New Roman"/>
          <w:szCs w:val="26"/>
        </w:rPr>
        <w:t>ng như các biện pháp đo lường cần thi</w:t>
      </w:r>
      <w:r w:rsidRPr="004B2C61">
        <w:rPr>
          <w:rFonts w:eastAsia="MingLiU" w:cs="Times New Roman"/>
          <w:szCs w:val="26"/>
        </w:rPr>
        <w:t>ế</w:t>
      </w:r>
      <w:r w:rsidRPr="004B2C61">
        <w:rPr>
          <w:rFonts w:cs="Times New Roman"/>
          <w:szCs w:val="26"/>
        </w:rPr>
        <w:t>t để có thể xác định rõ v</w:t>
      </w:r>
      <w:r w:rsidRPr="004B2C61">
        <w:rPr>
          <w:rFonts w:eastAsia="MingLiU" w:cs="Times New Roman"/>
          <w:szCs w:val="26"/>
        </w:rPr>
        <w:t>ề</w:t>
      </w:r>
      <w:r w:rsidRPr="004B2C61">
        <w:rPr>
          <w:rFonts w:cs="Times New Roman"/>
          <w:szCs w:val="26"/>
        </w:rPr>
        <w:t xml:space="preserve"> lượng th</w:t>
      </w:r>
      <w:r w:rsidRPr="004B2C61">
        <w:rPr>
          <w:rFonts w:eastAsia="MingLiU" w:cs="Times New Roman"/>
          <w:szCs w:val="26"/>
        </w:rPr>
        <w:t>ế</w:t>
      </w:r>
      <w:r w:rsidR="004B2C61">
        <w:rPr>
          <w:rFonts w:cs="Times New Roman"/>
          <w:szCs w:val="26"/>
        </w:rPr>
        <w:t xml:space="preserve"> nào là </w:t>
      </w:r>
      <w:r w:rsidRPr="004B2C61">
        <w:rPr>
          <w:rFonts w:cs="Times New Roman"/>
          <w:szCs w:val="26"/>
        </w:rPr>
        <w:t>MS</w:t>
      </w:r>
      <w:r w:rsidR="004B2C61">
        <w:rPr>
          <w:rFonts w:cs="Times New Roman"/>
          <w:szCs w:val="26"/>
        </w:rPr>
        <w:t>X</w:t>
      </w:r>
      <w:r w:rsidRPr="004B2C61">
        <w:rPr>
          <w:rFonts w:cs="Times New Roman"/>
          <w:szCs w:val="26"/>
        </w:rPr>
        <w:t xml:space="preserve">. </w:t>
      </w:r>
    </w:p>
    <w:p w:rsidR="008806B6" w:rsidRPr="004B2C61" w:rsidRDefault="008806B6" w:rsidP="00CE2863">
      <w:pPr>
        <w:pStyle w:val="ListParagraph"/>
        <w:numPr>
          <w:ilvl w:val="0"/>
          <w:numId w:val="7"/>
        </w:numPr>
        <w:spacing w:before="120" w:after="120" w:line="340" w:lineRule="exact"/>
        <w:ind w:left="454" w:hanging="284"/>
        <w:rPr>
          <w:rFonts w:cs="Times New Roman"/>
          <w:szCs w:val="26"/>
          <w:lang w:val="cs-CZ"/>
        </w:rPr>
      </w:pPr>
      <w:r w:rsidRPr="004B2C61">
        <w:rPr>
          <w:rFonts w:cs="Times New Roman"/>
          <w:szCs w:val="26"/>
        </w:rPr>
        <w:t>Nâng cao vai trò giám sát của các cơ quan liên quan, từ Quốc hội, Hội đồng nhân dân các cấp, các hiệp hội và các tổ chức quần chúng đ</w:t>
      </w:r>
      <w:r w:rsidR="004B2C61">
        <w:rPr>
          <w:rFonts w:cs="Times New Roman"/>
          <w:szCs w:val="26"/>
        </w:rPr>
        <w:t>ố</w:t>
      </w:r>
      <w:r w:rsidRPr="004B2C61">
        <w:rPr>
          <w:rFonts w:cs="Times New Roman"/>
          <w:szCs w:val="26"/>
        </w:rPr>
        <w:t>i với hoạt động kinh doanh và đầu tư của các doanh nghiệp và các dự án kinh t</w:t>
      </w:r>
      <w:r w:rsidRPr="004B2C61">
        <w:rPr>
          <w:rFonts w:eastAsia="MingLiU" w:cs="Times New Roman"/>
          <w:szCs w:val="26"/>
        </w:rPr>
        <w:t>ế</w:t>
      </w:r>
      <w:r w:rsidRPr="004B2C61">
        <w:rPr>
          <w:rFonts w:cs="Times New Roman"/>
          <w:szCs w:val="26"/>
        </w:rPr>
        <w:t>.</w:t>
      </w:r>
    </w:p>
    <w:p w:rsidR="000157D1" w:rsidRPr="00850805" w:rsidRDefault="001F1592" w:rsidP="00850805">
      <w:pPr>
        <w:pStyle w:val="2"/>
        <w:keepNext w:val="0"/>
        <w:keepLines w:val="0"/>
        <w:widowControl w:val="0"/>
        <w:tabs>
          <w:tab w:val="left" w:pos="742"/>
          <w:tab w:val="left" w:pos="896"/>
        </w:tabs>
        <w:spacing w:before="120" w:after="120" w:line="340" w:lineRule="exact"/>
        <w:rPr>
          <w:color w:val="auto"/>
          <w:sz w:val="26"/>
          <w:szCs w:val="26"/>
          <w:lang w:val="en-US"/>
        </w:rPr>
      </w:pPr>
      <w:r w:rsidRPr="00850805">
        <w:rPr>
          <w:color w:val="auto"/>
          <w:sz w:val="26"/>
          <w:szCs w:val="26"/>
          <w:lang w:val="en-US"/>
        </w:rPr>
        <w:t xml:space="preserve">6. </w:t>
      </w:r>
      <w:r w:rsidR="000157D1" w:rsidRPr="00850805">
        <w:rPr>
          <w:color w:val="auto"/>
          <w:sz w:val="26"/>
          <w:szCs w:val="26"/>
          <w:lang w:val="en-US"/>
        </w:rPr>
        <w:t>Kết luận</w:t>
      </w:r>
    </w:p>
    <w:p w:rsidR="00620BA5" w:rsidRPr="00620BA5" w:rsidRDefault="00620BA5" w:rsidP="00620BA5">
      <w:pPr>
        <w:spacing w:before="120" w:after="120" w:line="340" w:lineRule="exact"/>
        <w:ind w:firstLine="720"/>
        <w:rPr>
          <w:rFonts w:cs="Times New Roman"/>
          <w:szCs w:val="26"/>
        </w:rPr>
      </w:pPr>
      <w:r>
        <w:rPr>
          <w:rFonts w:cs="Times New Roman"/>
          <w:szCs w:val="26"/>
        </w:rPr>
        <w:t>Mua sắm công xanh</w:t>
      </w:r>
      <w:r w:rsidR="001F1592" w:rsidRPr="00850805">
        <w:rPr>
          <w:rFonts w:cs="Times New Roman"/>
          <w:szCs w:val="26"/>
          <w:lang w:val="vi-VN"/>
        </w:rPr>
        <w:t xml:space="preserve"> có vai trò quan trọng nhằm thúc đẩy xanh hóa lối sống và tiêu dùng bền vững hướng tới tăng trưởng xanh. Để thúc đẩy quá trình này, nhà nước cần sớm </w:t>
      </w:r>
      <w:r>
        <w:rPr>
          <w:rFonts w:cs="Times New Roman"/>
          <w:szCs w:val="26"/>
          <w:lang w:val="cs-CZ"/>
        </w:rPr>
        <w:t xml:space="preserve">xây dựng và ban hành Luật MSX nói chung và MSCX nói riêng. Bên cạnh đó, cần có chính sách </w:t>
      </w:r>
      <w:r w:rsidRPr="004B2C61">
        <w:rPr>
          <w:rFonts w:eastAsia="Times New Roman" w:cs="Times New Roman"/>
          <w:szCs w:val="26"/>
          <w:lang w:val="cs-CZ"/>
        </w:rPr>
        <w:t xml:space="preserve">ưu đãi đối với các doanh nghiệp sản xuất </w:t>
      </w:r>
      <w:r w:rsidR="00282342">
        <w:rPr>
          <w:rFonts w:eastAsia="Times New Roman" w:cs="Times New Roman"/>
          <w:szCs w:val="26"/>
          <w:lang w:val="cs-CZ"/>
        </w:rPr>
        <w:t>SPX</w:t>
      </w:r>
      <w:r w:rsidRPr="004B2C61">
        <w:rPr>
          <w:rFonts w:eastAsia="Times New Roman" w:cs="Times New Roman"/>
          <w:szCs w:val="26"/>
          <w:lang w:val="cs-CZ"/>
        </w:rPr>
        <w:t xml:space="preserve"> nhằm khuyến khích và mở rộng quy mô sản xuất kinh doanh các sản phẩm này</w:t>
      </w:r>
      <w:r>
        <w:rPr>
          <w:rFonts w:eastAsia="Times New Roman" w:cs="Times New Roman"/>
          <w:szCs w:val="26"/>
          <w:lang w:val="cs-CZ"/>
        </w:rPr>
        <w:t xml:space="preserve">, </w:t>
      </w:r>
      <w:r>
        <w:rPr>
          <w:rFonts w:cs="Times New Roman"/>
          <w:szCs w:val="26"/>
          <w:lang w:val="cs-CZ"/>
        </w:rPr>
        <w:t xml:space="preserve">nâng cao nhận thức của cá nhân và tổ chức </w:t>
      </w:r>
      <w:r>
        <w:rPr>
          <w:rFonts w:eastAsia="Times New Roman" w:cs="Times New Roman"/>
          <w:szCs w:val="26"/>
          <w:lang w:val="cs-CZ"/>
        </w:rPr>
        <w:t xml:space="preserve">về MSCX, </w:t>
      </w:r>
      <w:r w:rsidRPr="004B2C61">
        <w:rPr>
          <w:rFonts w:cs="Times New Roman"/>
          <w:szCs w:val="26"/>
        </w:rPr>
        <w:t xml:space="preserve">hoàn thiện hệ thống </w:t>
      </w:r>
      <w:r w:rsidRPr="004B2C61">
        <w:rPr>
          <w:rStyle w:val="Bodytext2Italic"/>
          <w:rFonts w:eastAsia="Malgun Gothic"/>
          <w:i w:val="0"/>
        </w:rPr>
        <w:t>các tiêu chuẩn về</w:t>
      </w:r>
      <w:r w:rsidRPr="004B2C61">
        <w:rPr>
          <w:rStyle w:val="Bodytext2Italic"/>
          <w:rFonts w:eastAsia="Malgun Gothic"/>
        </w:rPr>
        <w:t xml:space="preserve"> </w:t>
      </w:r>
      <w:r w:rsidRPr="004B2C61">
        <w:rPr>
          <w:rStyle w:val="Bodytext2Italic"/>
          <w:rFonts w:eastAsia="Malgun Gothic"/>
          <w:i w:val="0"/>
        </w:rPr>
        <w:t>MSX</w:t>
      </w:r>
      <w:r>
        <w:rPr>
          <w:rStyle w:val="Bodytext2Italic"/>
          <w:rFonts w:eastAsia="Malgun Gothic"/>
          <w:i w:val="0"/>
          <w:lang w:val="en-US"/>
        </w:rPr>
        <w:t>, và nâ</w:t>
      </w:r>
      <w:r w:rsidRPr="004B2C61">
        <w:rPr>
          <w:rFonts w:cs="Times New Roman"/>
          <w:szCs w:val="26"/>
        </w:rPr>
        <w:t>ng cao vai trò giám sát củ</w:t>
      </w:r>
      <w:r>
        <w:rPr>
          <w:rFonts w:cs="Times New Roman"/>
          <w:szCs w:val="26"/>
        </w:rPr>
        <w:t xml:space="preserve">a các cơ quan liên quan </w:t>
      </w:r>
      <w:r w:rsidRPr="004B2C61">
        <w:rPr>
          <w:rFonts w:cs="Times New Roman"/>
          <w:szCs w:val="26"/>
        </w:rPr>
        <w:t>đ</w:t>
      </w:r>
      <w:r>
        <w:rPr>
          <w:rFonts w:cs="Times New Roman"/>
          <w:szCs w:val="26"/>
        </w:rPr>
        <w:t>ố</w:t>
      </w:r>
      <w:r w:rsidRPr="004B2C61">
        <w:rPr>
          <w:rFonts w:cs="Times New Roman"/>
          <w:szCs w:val="26"/>
        </w:rPr>
        <w:t>i với hoạt động kinh doanh và đầu tư của các doanh nghiệp và các dự án kinh t</w:t>
      </w:r>
      <w:r w:rsidRPr="004B2C61">
        <w:rPr>
          <w:rFonts w:eastAsia="MingLiU" w:cs="Times New Roman"/>
          <w:szCs w:val="26"/>
        </w:rPr>
        <w:t>ế</w:t>
      </w:r>
      <w:r w:rsidRPr="004B2C61">
        <w:rPr>
          <w:rFonts w:cs="Times New Roman"/>
          <w:szCs w:val="26"/>
        </w:rPr>
        <w:t>.</w:t>
      </w:r>
    </w:p>
    <w:p w:rsidR="001F1592" w:rsidRPr="00850805" w:rsidRDefault="005E1393" w:rsidP="00850805">
      <w:pPr>
        <w:pStyle w:val="2"/>
        <w:keepNext w:val="0"/>
        <w:keepLines w:val="0"/>
        <w:widowControl w:val="0"/>
        <w:tabs>
          <w:tab w:val="left" w:pos="742"/>
          <w:tab w:val="left" w:pos="896"/>
        </w:tabs>
        <w:spacing w:before="120" w:after="120" w:line="340" w:lineRule="exact"/>
        <w:rPr>
          <w:color w:val="auto"/>
          <w:sz w:val="26"/>
          <w:szCs w:val="26"/>
          <w:lang w:val="en-US"/>
        </w:rPr>
      </w:pPr>
      <w:r w:rsidRPr="00850805">
        <w:rPr>
          <w:color w:val="auto"/>
          <w:sz w:val="26"/>
          <w:szCs w:val="26"/>
          <w:lang w:val="en-US"/>
        </w:rPr>
        <w:t>Tài liệu tham khảo</w:t>
      </w:r>
    </w:p>
    <w:bookmarkEnd w:id="9"/>
    <w:p w:rsidR="0074731E" w:rsidRPr="0074731E" w:rsidRDefault="0074731E" w:rsidP="0074731E">
      <w:pPr>
        <w:pStyle w:val="ListParagraph"/>
        <w:numPr>
          <w:ilvl w:val="0"/>
          <w:numId w:val="8"/>
        </w:numPr>
        <w:tabs>
          <w:tab w:val="num" w:pos="720"/>
        </w:tabs>
        <w:spacing w:before="120" w:after="120" w:line="340" w:lineRule="exact"/>
        <w:rPr>
          <w:rFonts w:cs="Times New Roman"/>
          <w:szCs w:val="26"/>
          <w:shd w:val="clear" w:color="auto" w:fill="FFFFFF"/>
        </w:rPr>
      </w:pPr>
      <w:r w:rsidRPr="0074731E">
        <w:rPr>
          <w:rFonts w:cs="Times New Roman"/>
          <w:szCs w:val="26"/>
          <w:shd w:val="clear" w:color="auto" w:fill="FFFFFF"/>
        </w:rPr>
        <w:t>Luật 50/2010/QH12 về Sử dụng năng lượng tiết kiệm và hiệu quả</w:t>
      </w:r>
    </w:p>
    <w:p w:rsidR="0074731E" w:rsidRPr="0074731E" w:rsidRDefault="0074731E" w:rsidP="0074731E">
      <w:pPr>
        <w:pStyle w:val="ListParagraph"/>
        <w:numPr>
          <w:ilvl w:val="0"/>
          <w:numId w:val="8"/>
        </w:numPr>
        <w:spacing w:before="120" w:after="120" w:line="340" w:lineRule="exact"/>
        <w:rPr>
          <w:rFonts w:cs="Times New Roman"/>
          <w:szCs w:val="26"/>
          <w:shd w:val="clear" w:color="auto" w:fill="FFFFFF"/>
        </w:rPr>
      </w:pPr>
      <w:r w:rsidRPr="0074731E">
        <w:rPr>
          <w:rFonts w:cs="Times New Roman"/>
          <w:szCs w:val="26"/>
          <w:shd w:val="clear" w:color="auto" w:fill="FFFFFF"/>
        </w:rPr>
        <w:t>Luật Bảo vệ môi trường 2014 số 55/2014/QH13</w:t>
      </w:r>
    </w:p>
    <w:p w:rsidR="0074731E" w:rsidRPr="0074731E" w:rsidRDefault="0074731E" w:rsidP="0074731E">
      <w:pPr>
        <w:pStyle w:val="ListParagraph"/>
        <w:numPr>
          <w:ilvl w:val="0"/>
          <w:numId w:val="8"/>
        </w:numPr>
        <w:spacing w:before="120" w:after="120" w:line="340" w:lineRule="exact"/>
        <w:rPr>
          <w:rFonts w:cs="Times New Roman"/>
          <w:szCs w:val="26"/>
          <w:shd w:val="clear" w:color="auto" w:fill="FFFFFF"/>
        </w:rPr>
      </w:pPr>
      <w:r w:rsidRPr="0074731E">
        <w:rPr>
          <w:rFonts w:cs="Times New Roman"/>
          <w:szCs w:val="26"/>
          <w:shd w:val="clear" w:color="auto" w:fill="FFFFFF"/>
        </w:rPr>
        <w:t>Luật đấu thầu 2013</w:t>
      </w:r>
    </w:p>
    <w:p w:rsidR="0074731E" w:rsidRPr="0074731E" w:rsidRDefault="0074731E" w:rsidP="0074731E">
      <w:pPr>
        <w:pStyle w:val="ListParagraph"/>
        <w:numPr>
          <w:ilvl w:val="0"/>
          <w:numId w:val="8"/>
        </w:numPr>
        <w:spacing w:before="120" w:after="120" w:line="340" w:lineRule="exact"/>
        <w:rPr>
          <w:rFonts w:cs="Times New Roman"/>
          <w:szCs w:val="26"/>
          <w:shd w:val="clear" w:color="auto" w:fill="FFFFFF"/>
        </w:rPr>
      </w:pPr>
      <w:r w:rsidRPr="0074731E">
        <w:rPr>
          <w:rFonts w:cs="Times New Roman"/>
          <w:szCs w:val="26"/>
          <w:shd w:val="clear" w:color="auto" w:fill="FFFFFF"/>
        </w:rPr>
        <w:t>Quyết định 68/2011/QĐ-TTg Ngày 12 tháng 12 năm 2011 của Thủ tướng chính phủ Ban hành Danh mục phương tiện, thiết bị tiết kiệm năng lượng được trang bị, mua sắm đối với cơ quan, đơn vị sử dụng ngân sách nhà nước</w:t>
      </w:r>
    </w:p>
    <w:p w:rsidR="0074731E" w:rsidRPr="0074731E" w:rsidRDefault="0074731E" w:rsidP="0074731E">
      <w:pPr>
        <w:pStyle w:val="ListParagraph"/>
        <w:numPr>
          <w:ilvl w:val="0"/>
          <w:numId w:val="8"/>
        </w:numPr>
        <w:spacing w:before="120" w:after="120" w:line="340" w:lineRule="exact"/>
        <w:rPr>
          <w:rFonts w:cs="Times New Roman"/>
          <w:szCs w:val="26"/>
          <w:shd w:val="clear" w:color="auto" w:fill="FFFFFF"/>
        </w:rPr>
      </w:pPr>
      <w:r w:rsidRPr="0074731E">
        <w:rPr>
          <w:rFonts w:cs="Times New Roman"/>
          <w:szCs w:val="26"/>
          <w:shd w:val="clear" w:color="auto" w:fill="FFFFFF"/>
        </w:rPr>
        <w:t>Quyết định số 1393/QĐ-TTg ngày 25 tháng 9 năm 2012 của Thủ tướng Chính phủ phê duyệt Chiến lược quốc gia về tăng trưởng xanh thời kỳ 2011- 2020 và tầm nhìn đến năm 2050</w:t>
      </w:r>
    </w:p>
    <w:p w:rsidR="0074731E" w:rsidRPr="0074731E" w:rsidRDefault="0074731E" w:rsidP="0074731E">
      <w:pPr>
        <w:pStyle w:val="ListParagraph"/>
        <w:numPr>
          <w:ilvl w:val="0"/>
          <w:numId w:val="8"/>
        </w:numPr>
        <w:spacing w:before="120" w:after="120" w:line="340" w:lineRule="exact"/>
        <w:rPr>
          <w:rFonts w:cs="Times New Roman"/>
          <w:szCs w:val="26"/>
          <w:shd w:val="clear" w:color="auto" w:fill="FFFFFF"/>
        </w:rPr>
      </w:pPr>
      <w:r w:rsidRPr="0074731E">
        <w:rPr>
          <w:rFonts w:cs="Times New Roman"/>
          <w:szCs w:val="26"/>
          <w:shd w:val="clear" w:color="auto" w:fill="FFFFFF"/>
        </w:rPr>
        <w:t xml:space="preserve">Quyết định số 179/2007/QĐ-TTg của Thủ tướng Chính phủ ngày 26 tháng 11 năm 2007 về “Ban hành quy chế tổ chức mua sắm tài sản, hàng hoá từ ngân sách nhà nước </w:t>
      </w:r>
      <w:proofErr w:type="gramStart"/>
      <w:r w:rsidRPr="0074731E">
        <w:rPr>
          <w:rFonts w:cs="Times New Roman"/>
          <w:szCs w:val="26"/>
          <w:shd w:val="clear" w:color="auto" w:fill="FFFFFF"/>
        </w:rPr>
        <w:t>theo</w:t>
      </w:r>
      <w:proofErr w:type="gramEnd"/>
      <w:r w:rsidRPr="0074731E">
        <w:rPr>
          <w:rFonts w:cs="Times New Roman"/>
          <w:szCs w:val="26"/>
          <w:shd w:val="clear" w:color="auto" w:fill="FFFFFF"/>
        </w:rPr>
        <w:t xml:space="preserve"> phương thức tập trung”.</w:t>
      </w:r>
    </w:p>
    <w:p w:rsidR="0074731E" w:rsidRPr="0074731E" w:rsidRDefault="0074731E" w:rsidP="0074731E">
      <w:pPr>
        <w:pStyle w:val="ListParagraph"/>
        <w:numPr>
          <w:ilvl w:val="0"/>
          <w:numId w:val="8"/>
        </w:numPr>
        <w:spacing w:before="120" w:after="120" w:line="340" w:lineRule="exact"/>
        <w:rPr>
          <w:rFonts w:cs="Times New Roman"/>
          <w:szCs w:val="26"/>
          <w:shd w:val="clear" w:color="auto" w:fill="FFFFFF"/>
        </w:rPr>
      </w:pPr>
      <w:r w:rsidRPr="0074731E">
        <w:rPr>
          <w:rFonts w:cs="Times New Roman"/>
          <w:szCs w:val="26"/>
          <w:shd w:val="clear" w:color="auto" w:fill="FFFFFF"/>
        </w:rPr>
        <w:t>Quyết định số 2183/QĐ-BTC về việc Ban hành kế hoạch hành động của ngành tài chính thực hiện chiến lược quốc gia về tăng trưởng xanh đến năm 2020</w:t>
      </w:r>
    </w:p>
    <w:p w:rsidR="0074731E" w:rsidRDefault="0074731E" w:rsidP="0074731E">
      <w:pPr>
        <w:pStyle w:val="ListParagraph"/>
        <w:numPr>
          <w:ilvl w:val="0"/>
          <w:numId w:val="8"/>
        </w:numPr>
        <w:spacing w:before="120" w:after="120" w:line="340" w:lineRule="exact"/>
        <w:rPr>
          <w:rFonts w:cs="Times New Roman"/>
          <w:szCs w:val="26"/>
          <w:shd w:val="clear" w:color="auto" w:fill="FFFFFF"/>
        </w:rPr>
      </w:pPr>
      <w:r w:rsidRPr="0074731E">
        <w:rPr>
          <w:rFonts w:cs="Times New Roman"/>
          <w:szCs w:val="26"/>
          <w:shd w:val="clear" w:color="auto" w:fill="FFFFFF"/>
        </w:rPr>
        <w:t xml:space="preserve">Quyết định số 403/QĐ-TTg phê duyệt Kế hoạch hành động quốc gia về tăng trưởng xanh giai đoạn 2014 </w:t>
      </w:r>
      <w:r>
        <w:rPr>
          <w:rFonts w:cs="Times New Roman"/>
          <w:szCs w:val="26"/>
          <w:shd w:val="clear" w:color="auto" w:fill="FFFFFF"/>
        </w:rPr>
        <w:t>-</w:t>
      </w:r>
      <w:r w:rsidRPr="0074731E">
        <w:rPr>
          <w:rFonts w:cs="Times New Roman"/>
          <w:szCs w:val="26"/>
          <w:shd w:val="clear" w:color="auto" w:fill="FFFFFF"/>
        </w:rPr>
        <w:t xml:space="preserve"> 2020</w:t>
      </w:r>
      <w:r>
        <w:rPr>
          <w:rFonts w:cs="Times New Roman"/>
          <w:szCs w:val="26"/>
          <w:shd w:val="clear" w:color="auto" w:fill="FFFFFF"/>
        </w:rPr>
        <w:t>.</w:t>
      </w:r>
    </w:p>
    <w:p w:rsidR="0074731E" w:rsidRDefault="0074731E" w:rsidP="0074731E">
      <w:pPr>
        <w:pStyle w:val="ListParagraph"/>
        <w:numPr>
          <w:ilvl w:val="0"/>
          <w:numId w:val="8"/>
        </w:numPr>
        <w:spacing w:before="120" w:after="120" w:line="340" w:lineRule="exact"/>
        <w:rPr>
          <w:rFonts w:cs="Times New Roman"/>
          <w:szCs w:val="26"/>
          <w:shd w:val="clear" w:color="auto" w:fill="FFFFFF"/>
        </w:rPr>
      </w:pPr>
      <w:r w:rsidRPr="0074731E">
        <w:rPr>
          <w:rFonts w:cs="Times New Roman"/>
          <w:szCs w:val="26"/>
        </w:rPr>
        <w:t xml:space="preserve">Mạng lưới mua sắm xanh quốc tế (IGPN). </w:t>
      </w:r>
      <w:hyperlink r:id="rId8" w:history="1">
        <w:r w:rsidRPr="0074731E">
          <w:rPr>
            <w:rStyle w:val="Hyperlink"/>
            <w:rFonts w:cs="Times New Roman"/>
            <w:szCs w:val="26"/>
          </w:rPr>
          <w:t>http://www.igpn.org/</w:t>
        </w:r>
      </w:hyperlink>
    </w:p>
    <w:p w:rsidR="0074731E" w:rsidRPr="004228ED" w:rsidRDefault="0074731E" w:rsidP="004228ED">
      <w:pPr>
        <w:pStyle w:val="ListParagraph"/>
        <w:numPr>
          <w:ilvl w:val="0"/>
          <w:numId w:val="8"/>
        </w:numPr>
        <w:spacing w:before="120" w:after="120" w:line="340" w:lineRule="exact"/>
        <w:rPr>
          <w:rFonts w:cs="Times New Roman"/>
          <w:szCs w:val="26"/>
          <w:shd w:val="clear" w:color="auto" w:fill="FFFFFF"/>
        </w:rPr>
      </w:pPr>
      <w:r w:rsidRPr="0074731E">
        <w:rPr>
          <w:rFonts w:cs="Times New Roman"/>
          <w:szCs w:val="26"/>
          <w:shd w:val="clear" w:color="auto" w:fill="FFFFFF"/>
        </w:rPr>
        <w:lastRenderedPageBreak/>
        <w:t xml:space="preserve">UNEP và Bộ tài nguyên và Môi trường, 2015, </w:t>
      </w:r>
      <w:r w:rsidRPr="0074731E">
        <w:rPr>
          <w:rFonts w:cs="Times New Roman"/>
          <w:bCs/>
          <w:szCs w:val="26"/>
        </w:rPr>
        <w:t>Assessment report sustainable public procurement</w:t>
      </w:r>
      <w:r w:rsidRPr="0074731E">
        <w:rPr>
          <w:rFonts w:cs="Times New Roman"/>
          <w:szCs w:val="26"/>
          <w:shd w:val="clear" w:color="auto" w:fill="FFFFFF"/>
        </w:rPr>
        <w:t xml:space="preserve"> </w:t>
      </w:r>
      <w:r w:rsidRPr="0074731E">
        <w:rPr>
          <w:rFonts w:cs="Times New Roman"/>
          <w:bCs/>
          <w:szCs w:val="26"/>
        </w:rPr>
        <w:t>status in Vietnam</w:t>
      </w:r>
      <w:r w:rsidRPr="0074731E">
        <w:rPr>
          <w:rFonts w:cs="Times New Roman"/>
          <w:szCs w:val="26"/>
          <w:shd w:val="clear" w:color="auto" w:fill="FFFFFF"/>
        </w:rPr>
        <w:t xml:space="preserve">, trang 1-32, tháng 4. </w:t>
      </w:r>
    </w:p>
    <w:sectPr w:rsidR="0074731E" w:rsidRPr="004228ED" w:rsidSect="006E3B08">
      <w:footerReference w:type="default" r:id="rId9"/>
      <w:footerReference w:type="first" r:id="rId10"/>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B1C" w:rsidRDefault="00353B1C" w:rsidP="00765900">
      <w:pPr>
        <w:spacing w:after="0" w:line="240" w:lineRule="auto"/>
      </w:pPr>
      <w:r>
        <w:separator/>
      </w:r>
    </w:p>
  </w:endnote>
  <w:endnote w:type="continuationSeparator" w:id="0">
    <w:p w:rsidR="00353B1C" w:rsidRDefault="00353B1C" w:rsidP="00765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tka Small">
    <w:charset w:val="00"/>
    <w:family w:val="auto"/>
    <w:pitch w:val="variable"/>
    <w:sig w:usb0="A00002EF" w:usb1="40002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Malgun Gothic">
    <w:charset w:val="81"/>
    <w:family w:val="swiss"/>
    <w:pitch w:val="variable"/>
    <w:sig w:usb0="900002AF" w:usb1="09D77CFB" w:usb2="00000012" w:usb3="00000000" w:csb0="00080001" w:csb1="00000000"/>
  </w:font>
  <w:font w:name="MingLiU">
    <w:altName w:val="細明體"/>
    <w:panose1 w:val="02010609000101010101"/>
    <w:charset w:val="88"/>
    <w:family w:val="modern"/>
    <w:notTrueType/>
    <w:pitch w:val="fixed"/>
    <w:sig w:usb0="00000001" w:usb1="08080000" w:usb2="00000010" w:usb3="00000000" w:csb0="0010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349237"/>
      <w:docPartObj>
        <w:docPartGallery w:val="Page Numbers (Bottom of Page)"/>
        <w:docPartUnique/>
      </w:docPartObj>
    </w:sdtPr>
    <w:sdtEndPr>
      <w:rPr>
        <w:noProof/>
      </w:rPr>
    </w:sdtEndPr>
    <w:sdtContent>
      <w:p w:rsidR="0089237E" w:rsidRDefault="0089237E">
        <w:pPr>
          <w:pStyle w:val="Footer"/>
          <w:jc w:val="center"/>
        </w:pPr>
        <w:r>
          <w:fldChar w:fldCharType="begin"/>
        </w:r>
        <w:r>
          <w:instrText xml:space="preserve"> PAGE   \* MERGEFORMAT </w:instrText>
        </w:r>
        <w:r>
          <w:fldChar w:fldCharType="separate"/>
        </w:r>
        <w:r w:rsidR="009E78B4">
          <w:rPr>
            <w:noProof/>
          </w:rPr>
          <w:t>9</w:t>
        </w:r>
        <w:r>
          <w:rPr>
            <w:noProof/>
          </w:rPr>
          <w:fldChar w:fldCharType="end"/>
        </w:r>
      </w:p>
    </w:sdtContent>
  </w:sdt>
  <w:p w:rsidR="0089237E" w:rsidRDefault="008923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37E" w:rsidRDefault="0089237E" w:rsidP="006E3B08">
    <w:pPr>
      <w:pStyle w:val="Footer"/>
      <w:rPr>
        <w:i/>
        <w:sz w:val="20"/>
        <w:szCs w:val="20"/>
      </w:rPr>
    </w:pPr>
  </w:p>
  <w:p w:rsidR="0089237E" w:rsidRPr="006E3B08" w:rsidRDefault="0089237E" w:rsidP="006E3B08">
    <w:pPr>
      <w:pStyle w:val="Footer"/>
      <w:rPr>
        <w:i/>
        <w:sz w:val="20"/>
        <w:szCs w:val="20"/>
      </w:rPr>
    </w:pPr>
    <w:r w:rsidRPr="006E3B08">
      <w:rPr>
        <w:rStyle w:val="FootnoteReference"/>
        <w:i/>
        <w:sz w:val="20"/>
        <w:szCs w:val="20"/>
      </w:rPr>
      <w:t>*</w:t>
    </w:r>
    <w:r w:rsidRPr="006E3B08">
      <w:rPr>
        <w:i/>
        <w:sz w:val="20"/>
        <w:szCs w:val="20"/>
      </w:rPr>
      <w:t xml:space="preserve"> </w:t>
    </w:r>
    <w:bookmarkStart w:id="14" w:name="OLE_LINK19"/>
    <w:bookmarkStart w:id="15" w:name="OLE_LINK18"/>
    <w:r w:rsidRPr="006E3B08">
      <w:rPr>
        <w:i/>
        <w:sz w:val="20"/>
        <w:szCs w:val="20"/>
      </w:rPr>
      <w:t>Tác giả liên hệ. Địa chỉ: Khoa Kinh tế Phát triển, E4, 144 Xuân Thủy, Cầu Giấy, Hà Nội</w:t>
    </w:r>
  </w:p>
  <w:p w:rsidR="0089237E" w:rsidRPr="006E3B08" w:rsidRDefault="0089237E" w:rsidP="006E3B08">
    <w:pPr>
      <w:pStyle w:val="Footer"/>
      <w:rPr>
        <w:i/>
        <w:sz w:val="20"/>
        <w:szCs w:val="20"/>
      </w:rPr>
    </w:pPr>
    <w:r w:rsidRPr="006E3B08">
      <w:rPr>
        <w:i/>
        <w:sz w:val="20"/>
        <w:szCs w:val="20"/>
      </w:rPr>
      <w:t xml:space="preserve">   Điện thoại: 84-</w:t>
    </w:r>
    <w:bookmarkEnd w:id="14"/>
    <w:bookmarkEnd w:id="15"/>
    <w:r w:rsidRPr="006E3B08">
      <w:rPr>
        <w:i/>
        <w:sz w:val="20"/>
        <w:szCs w:val="20"/>
      </w:rPr>
      <w:t xml:space="preserve">914780425; </w:t>
    </w:r>
    <w:r w:rsidRPr="006E3B08">
      <w:rPr>
        <w:rStyle w:val="yshortcuts"/>
        <w:i/>
        <w:sz w:val="20"/>
        <w:szCs w:val="20"/>
      </w:rPr>
      <w:t xml:space="preserve">E-mail: </w:t>
    </w:r>
    <w:r w:rsidRPr="006E3B08">
      <w:rPr>
        <w:rStyle w:val="yshortcuts"/>
        <w:i/>
        <w:sz w:val="20"/>
        <w:szCs w:val="20"/>
        <w:lang w:eastAsia="zh-TW"/>
      </w:rPr>
      <w:t>datluuquoc@gmail.com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B1C" w:rsidRDefault="00353B1C" w:rsidP="00765900">
      <w:pPr>
        <w:spacing w:after="0" w:line="240" w:lineRule="auto"/>
      </w:pPr>
      <w:r>
        <w:separator/>
      </w:r>
    </w:p>
  </w:footnote>
  <w:footnote w:type="continuationSeparator" w:id="0">
    <w:p w:rsidR="00353B1C" w:rsidRDefault="00353B1C" w:rsidP="007659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7B2"/>
    <w:multiLevelType w:val="hybridMultilevel"/>
    <w:tmpl w:val="B8EA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D71B7"/>
    <w:multiLevelType w:val="hybridMultilevel"/>
    <w:tmpl w:val="4098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EC1F9F"/>
    <w:multiLevelType w:val="hybridMultilevel"/>
    <w:tmpl w:val="BD0A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DF03E6"/>
    <w:multiLevelType w:val="hybridMultilevel"/>
    <w:tmpl w:val="6DDE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0655A1"/>
    <w:multiLevelType w:val="hybridMultilevel"/>
    <w:tmpl w:val="F238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196A05"/>
    <w:multiLevelType w:val="hybridMultilevel"/>
    <w:tmpl w:val="3D02D61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nsid w:val="66052AFA"/>
    <w:multiLevelType w:val="hybridMultilevel"/>
    <w:tmpl w:val="D8E690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5F7845"/>
    <w:multiLevelType w:val="hybridMultilevel"/>
    <w:tmpl w:val="108C05EC"/>
    <w:lvl w:ilvl="0" w:tplc="92CAFB92">
      <w:start w:val="1"/>
      <w:numFmt w:val="bullet"/>
      <w:lvlText w:val="-"/>
      <w:lvlJc w:val="left"/>
      <w:pPr>
        <w:ind w:left="1457" w:hanging="360"/>
      </w:pPr>
      <w:rPr>
        <w:rFonts w:ascii="Sitka Small" w:hAnsi="Sitka Smal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8">
    <w:nsid w:val="7A49166E"/>
    <w:multiLevelType w:val="hybridMultilevel"/>
    <w:tmpl w:val="3A9E0AC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4"/>
  </w:num>
  <w:num w:numId="5">
    <w:abstractNumId w:val="2"/>
  </w:num>
  <w:num w:numId="6">
    <w:abstractNumId w:val="0"/>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A97"/>
    <w:rsid w:val="00012983"/>
    <w:rsid w:val="000157D1"/>
    <w:rsid w:val="00044216"/>
    <w:rsid w:val="00097900"/>
    <w:rsid w:val="00111AD7"/>
    <w:rsid w:val="0018099D"/>
    <w:rsid w:val="001970E0"/>
    <w:rsid w:val="001F1592"/>
    <w:rsid w:val="00282342"/>
    <w:rsid w:val="00323E13"/>
    <w:rsid w:val="00333175"/>
    <w:rsid w:val="00353B1C"/>
    <w:rsid w:val="00377D31"/>
    <w:rsid w:val="00382717"/>
    <w:rsid w:val="003B4F60"/>
    <w:rsid w:val="004228ED"/>
    <w:rsid w:val="0043618B"/>
    <w:rsid w:val="00451773"/>
    <w:rsid w:val="004A22AC"/>
    <w:rsid w:val="004B2C61"/>
    <w:rsid w:val="0051791A"/>
    <w:rsid w:val="00522BE6"/>
    <w:rsid w:val="0053711A"/>
    <w:rsid w:val="005B308E"/>
    <w:rsid w:val="005E1393"/>
    <w:rsid w:val="00604686"/>
    <w:rsid w:val="00620BA5"/>
    <w:rsid w:val="006512ED"/>
    <w:rsid w:val="0066359E"/>
    <w:rsid w:val="006E10D6"/>
    <w:rsid w:val="006E3B08"/>
    <w:rsid w:val="0070182F"/>
    <w:rsid w:val="00707E5C"/>
    <w:rsid w:val="00741C9A"/>
    <w:rsid w:val="0074731E"/>
    <w:rsid w:val="0075576B"/>
    <w:rsid w:val="007622B0"/>
    <w:rsid w:val="00765900"/>
    <w:rsid w:val="00782C20"/>
    <w:rsid w:val="007D4636"/>
    <w:rsid w:val="007F06E2"/>
    <w:rsid w:val="007F1783"/>
    <w:rsid w:val="00850805"/>
    <w:rsid w:val="00851551"/>
    <w:rsid w:val="008806B6"/>
    <w:rsid w:val="0089237E"/>
    <w:rsid w:val="008B1578"/>
    <w:rsid w:val="0092637E"/>
    <w:rsid w:val="00944DF0"/>
    <w:rsid w:val="00956EAC"/>
    <w:rsid w:val="009E78B4"/>
    <w:rsid w:val="00A6114F"/>
    <w:rsid w:val="00A71052"/>
    <w:rsid w:val="00A95917"/>
    <w:rsid w:val="00AC34BD"/>
    <w:rsid w:val="00B3621A"/>
    <w:rsid w:val="00B51BF7"/>
    <w:rsid w:val="00B67E2A"/>
    <w:rsid w:val="00B97A97"/>
    <w:rsid w:val="00BA1B42"/>
    <w:rsid w:val="00C67C6F"/>
    <w:rsid w:val="00CB4AE8"/>
    <w:rsid w:val="00CB576F"/>
    <w:rsid w:val="00CE2863"/>
    <w:rsid w:val="00D06CBB"/>
    <w:rsid w:val="00D46673"/>
    <w:rsid w:val="00D64FE5"/>
    <w:rsid w:val="00D74E53"/>
    <w:rsid w:val="00DF3A9B"/>
    <w:rsid w:val="00E247A2"/>
    <w:rsid w:val="00E63042"/>
    <w:rsid w:val="00EB6C6E"/>
    <w:rsid w:val="00EF33AD"/>
    <w:rsid w:val="00FB60CC"/>
    <w:rsid w:val="00FC723F"/>
    <w:rsid w:val="00FF6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91A"/>
    <w:pPr>
      <w:jc w:val="both"/>
    </w:pPr>
    <w:rPr>
      <w:rFonts w:ascii="Times New Roman" w:hAnsi="Times New Roman"/>
      <w:sz w:val="26"/>
    </w:rPr>
  </w:style>
  <w:style w:type="paragraph" w:styleId="Heading1">
    <w:name w:val="heading 1"/>
    <w:basedOn w:val="Normal"/>
    <w:next w:val="Normal"/>
    <w:link w:val="Heading1Char"/>
    <w:uiPriority w:val="9"/>
    <w:qFormat/>
    <w:rsid w:val="000442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421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0442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765900"/>
    <w:rPr>
      <w:vertAlign w:val="superscript"/>
    </w:rPr>
  </w:style>
  <w:style w:type="paragraph" w:styleId="NormalWeb">
    <w:name w:val="Normal (Web)"/>
    <w:basedOn w:val="Normal"/>
    <w:uiPriority w:val="99"/>
    <w:unhideWhenUsed/>
    <w:rsid w:val="00044216"/>
    <w:pPr>
      <w:spacing w:before="100" w:beforeAutospacing="1" w:after="100" w:afterAutospacing="1" w:line="240" w:lineRule="auto"/>
      <w:ind w:firstLine="567"/>
    </w:pPr>
    <w:rPr>
      <w:rFonts w:eastAsia="Times New Roman" w:cs="Times New Roman"/>
      <w:sz w:val="24"/>
      <w:szCs w:val="24"/>
    </w:rPr>
  </w:style>
  <w:style w:type="character" w:styleId="Hyperlink">
    <w:name w:val="Hyperlink"/>
    <w:uiPriority w:val="99"/>
    <w:unhideWhenUsed/>
    <w:rsid w:val="00044216"/>
    <w:rPr>
      <w:color w:val="0000FF"/>
      <w:u w:val="single"/>
    </w:rPr>
  </w:style>
  <w:style w:type="character" w:customStyle="1" w:styleId="apple-converted-space">
    <w:name w:val="apple-converted-space"/>
    <w:basedOn w:val="DefaultParagraphFont"/>
    <w:rsid w:val="00044216"/>
  </w:style>
  <w:style w:type="paragraph" w:customStyle="1" w:styleId="2">
    <w:name w:val="2"/>
    <w:basedOn w:val="Heading1"/>
    <w:qFormat/>
    <w:rsid w:val="00044216"/>
    <w:pPr>
      <w:spacing w:before="0" w:line="360" w:lineRule="auto"/>
    </w:pPr>
    <w:rPr>
      <w:rFonts w:ascii="Times New Roman" w:eastAsia="Times New Roman" w:hAnsi="Times New Roman" w:cs="Times New Roman"/>
      <w:color w:val="000000"/>
      <w:lang w:val="x-none" w:eastAsia="x-none"/>
    </w:rPr>
  </w:style>
  <w:style w:type="paragraph" w:customStyle="1" w:styleId="3">
    <w:name w:val="3"/>
    <w:basedOn w:val="Heading2"/>
    <w:qFormat/>
    <w:rsid w:val="00044216"/>
    <w:pPr>
      <w:spacing w:before="0" w:line="360" w:lineRule="auto"/>
    </w:pPr>
    <w:rPr>
      <w:rFonts w:ascii="Times New Roman" w:eastAsia="Times New Roman" w:hAnsi="Times New Roman" w:cs="Times New Roman"/>
      <w:i/>
      <w:color w:val="000000"/>
      <w:lang w:val="x-none" w:eastAsia="x-none"/>
    </w:rPr>
  </w:style>
  <w:style w:type="paragraph" w:customStyle="1" w:styleId="4">
    <w:name w:val="4"/>
    <w:basedOn w:val="Heading3"/>
    <w:qFormat/>
    <w:rsid w:val="00044216"/>
    <w:pPr>
      <w:spacing w:before="0" w:line="360" w:lineRule="auto"/>
    </w:pPr>
    <w:rPr>
      <w:rFonts w:ascii="Times New Roman" w:eastAsia="Times New Roman" w:hAnsi="Times New Roman" w:cs="Times New Roman"/>
      <w:b w:val="0"/>
      <w:i/>
      <w:color w:val="000000"/>
      <w:szCs w:val="20"/>
      <w:lang w:val="x-none" w:eastAsia="x-none"/>
    </w:rPr>
  </w:style>
  <w:style w:type="character" w:customStyle="1" w:styleId="hps">
    <w:name w:val="hps"/>
    <w:rsid w:val="00044216"/>
  </w:style>
  <w:style w:type="paragraph" w:styleId="Caption">
    <w:name w:val="caption"/>
    <w:basedOn w:val="Normal"/>
    <w:next w:val="Normal"/>
    <w:uiPriority w:val="35"/>
    <w:qFormat/>
    <w:rsid w:val="00044216"/>
    <w:pPr>
      <w:spacing w:after="0" w:line="240" w:lineRule="auto"/>
    </w:pPr>
    <w:rPr>
      <w:rFonts w:eastAsia="MS Mincho" w:cs="Times New Roman"/>
      <w:b/>
      <w:bCs/>
      <w:sz w:val="20"/>
      <w:szCs w:val="20"/>
      <w:lang w:eastAsia="ja-JP"/>
    </w:rPr>
  </w:style>
  <w:style w:type="character" w:customStyle="1" w:styleId="Heading1Char">
    <w:name w:val="Heading 1 Char"/>
    <w:basedOn w:val="DefaultParagraphFont"/>
    <w:link w:val="Heading1"/>
    <w:uiPriority w:val="9"/>
    <w:rsid w:val="000442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42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421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44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216"/>
    <w:rPr>
      <w:rFonts w:ascii="Tahoma" w:hAnsi="Tahoma" w:cs="Tahoma"/>
      <w:sz w:val="16"/>
      <w:szCs w:val="16"/>
    </w:rPr>
  </w:style>
  <w:style w:type="paragraph" w:styleId="ListParagraph">
    <w:name w:val="List Paragraph"/>
    <w:basedOn w:val="Normal"/>
    <w:uiPriority w:val="34"/>
    <w:qFormat/>
    <w:rsid w:val="007622B0"/>
    <w:pPr>
      <w:ind w:left="720"/>
      <w:contextualSpacing/>
    </w:pPr>
  </w:style>
  <w:style w:type="paragraph" w:styleId="FootnoteText">
    <w:name w:val="footnote text"/>
    <w:basedOn w:val="Normal"/>
    <w:link w:val="FootnoteTextChar"/>
    <w:uiPriority w:val="99"/>
    <w:unhideWhenUsed/>
    <w:rsid w:val="0051791A"/>
    <w:pPr>
      <w:spacing w:after="0" w:line="240" w:lineRule="auto"/>
      <w:jc w:val="left"/>
    </w:pPr>
    <w:rPr>
      <w:rFonts w:asciiTheme="minorHAnsi" w:hAnsiTheme="minorHAnsi"/>
      <w:sz w:val="24"/>
      <w:szCs w:val="24"/>
    </w:rPr>
  </w:style>
  <w:style w:type="character" w:customStyle="1" w:styleId="FootnoteTextChar">
    <w:name w:val="Footnote Text Char"/>
    <w:basedOn w:val="DefaultParagraphFont"/>
    <w:link w:val="FootnoteText"/>
    <w:uiPriority w:val="99"/>
    <w:rsid w:val="0051791A"/>
    <w:rPr>
      <w:sz w:val="24"/>
      <w:szCs w:val="24"/>
    </w:rPr>
  </w:style>
  <w:style w:type="paragraph" w:customStyle="1" w:styleId="s0">
    <w:name w:val="s0"/>
    <w:uiPriority w:val="99"/>
    <w:rsid w:val="008806B6"/>
    <w:pPr>
      <w:widowControl w:val="0"/>
      <w:autoSpaceDE w:val="0"/>
      <w:autoSpaceDN w:val="0"/>
      <w:adjustRightInd w:val="0"/>
      <w:spacing w:after="0" w:line="240" w:lineRule="auto"/>
    </w:pPr>
    <w:rPr>
      <w:rFonts w:ascii="Malgun Gothic" w:eastAsia="Malgun Gothic" w:hAnsi="Malgun Gothic" w:cs="Times New Roman"/>
      <w:sz w:val="24"/>
      <w:szCs w:val="24"/>
      <w:lang w:eastAsia="ko-KR"/>
    </w:rPr>
  </w:style>
  <w:style w:type="character" w:customStyle="1" w:styleId="Bodytext2Italic">
    <w:name w:val="Body text (2) + Italic"/>
    <w:rsid w:val="008806B6"/>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shd w:val="clear" w:color="auto" w:fill="FFFFFF"/>
      <w:lang w:val="vi-VN" w:eastAsia="vi-VN" w:bidi="vi-VN"/>
    </w:rPr>
  </w:style>
  <w:style w:type="paragraph" w:styleId="Header">
    <w:name w:val="header"/>
    <w:basedOn w:val="Normal"/>
    <w:link w:val="HeaderChar"/>
    <w:uiPriority w:val="99"/>
    <w:unhideWhenUsed/>
    <w:rsid w:val="006E3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B08"/>
    <w:rPr>
      <w:rFonts w:ascii="Times New Roman" w:hAnsi="Times New Roman"/>
      <w:sz w:val="26"/>
    </w:rPr>
  </w:style>
  <w:style w:type="paragraph" w:styleId="Footer">
    <w:name w:val="footer"/>
    <w:basedOn w:val="Normal"/>
    <w:link w:val="FooterChar"/>
    <w:uiPriority w:val="99"/>
    <w:unhideWhenUsed/>
    <w:rsid w:val="006E3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B08"/>
    <w:rPr>
      <w:rFonts w:ascii="Times New Roman" w:hAnsi="Times New Roman"/>
      <w:sz w:val="26"/>
    </w:rPr>
  </w:style>
  <w:style w:type="character" w:customStyle="1" w:styleId="yshortcuts">
    <w:name w:val="yshortcuts"/>
    <w:basedOn w:val="DefaultParagraphFont"/>
    <w:rsid w:val="006E3B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91A"/>
    <w:pPr>
      <w:jc w:val="both"/>
    </w:pPr>
    <w:rPr>
      <w:rFonts w:ascii="Times New Roman" w:hAnsi="Times New Roman"/>
      <w:sz w:val="26"/>
    </w:rPr>
  </w:style>
  <w:style w:type="paragraph" w:styleId="Heading1">
    <w:name w:val="heading 1"/>
    <w:basedOn w:val="Normal"/>
    <w:next w:val="Normal"/>
    <w:link w:val="Heading1Char"/>
    <w:uiPriority w:val="9"/>
    <w:qFormat/>
    <w:rsid w:val="000442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421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0442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765900"/>
    <w:rPr>
      <w:vertAlign w:val="superscript"/>
    </w:rPr>
  </w:style>
  <w:style w:type="paragraph" w:styleId="NormalWeb">
    <w:name w:val="Normal (Web)"/>
    <w:basedOn w:val="Normal"/>
    <w:uiPriority w:val="99"/>
    <w:unhideWhenUsed/>
    <w:rsid w:val="00044216"/>
    <w:pPr>
      <w:spacing w:before="100" w:beforeAutospacing="1" w:after="100" w:afterAutospacing="1" w:line="240" w:lineRule="auto"/>
      <w:ind w:firstLine="567"/>
    </w:pPr>
    <w:rPr>
      <w:rFonts w:eastAsia="Times New Roman" w:cs="Times New Roman"/>
      <w:sz w:val="24"/>
      <w:szCs w:val="24"/>
    </w:rPr>
  </w:style>
  <w:style w:type="character" w:styleId="Hyperlink">
    <w:name w:val="Hyperlink"/>
    <w:uiPriority w:val="99"/>
    <w:unhideWhenUsed/>
    <w:rsid w:val="00044216"/>
    <w:rPr>
      <w:color w:val="0000FF"/>
      <w:u w:val="single"/>
    </w:rPr>
  </w:style>
  <w:style w:type="character" w:customStyle="1" w:styleId="apple-converted-space">
    <w:name w:val="apple-converted-space"/>
    <w:basedOn w:val="DefaultParagraphFont"/>
    <w:rsid w:val="00044216"/>
  </w:style>
  <w:style w:type="paragraph" w:customStyle="1" w:styleId="2">
    <w:name w:val="2"/>
    <w:basedOn w:val="Heading1"/>
    <w:qFormat/>
    <w:rsid w:val="00044216"/>
    <w:pPr>
      <w:spacing w:before="0" w:line="360" w:lineRule="auto"/>
    </w:pPr>
    <w:rPr>
      <w:rFonts w:ascii="Times New Roman" w:eastAsia="Times New Roman" w:hAnsi="Times New Roman" w:cs="Times New Roman"/>
      <w:color w:val="000000"/>
      <w:lang w:val="x-none" w:eastAsia="x-none"/>
    </w:rPr>
  </w:style>
  <w:style w:type="paragraph" w:customStyle="1" w:styleId="3">
    <w:name w:val="3"/>
    <w:basedOn w:val="Heading2"/>
    <w:qFormat/>
    <w:rsid w:val="00044216"/>
    <w:pPr>
      <w:spacing w:before="0" w:line="360" w:lineRule="auto"/>
    </w:pPr>
    <w:rPr>
      <w:rFonts w:ascii="Times New Roman" w:eastAsia="Times New Roman" w:hAnsi="Times New Roman" w:cs="Times New Roman"/>
      <w:i/>
      <w:color w:val="000000"/>
      <w:lang w:val="x-none" w:eastAsia="x-none"/>
    </w:rPr>
  </w:style>
  <w:style w:type="paragraph" w:customStyle="1" w:styleId="4">
    <w:name w:val="4"/>
    <w:basedOn w:val="Heading3"/>
    <w:qFormat/>
    <w:rsid w:val="00044216"/>
    <w:pPr>
      <w:spacing w:before="0" w:line="360" w:lineRule="auto"/>
    </w:pPr>
    <w:rPr>
      <w:rFonts w:ascii="Times New Roman" w:eastAsia="Times New Roman" w:hAnsi="Times New Roman" w:cs="Times New Roman"/>
      <w:b w:val="0"/>
      <w:i/>
      <w:color w:val="000000"/>
      <w:szCs w:val="20"/>
      <w:lang w:val="x-none" w:eastAsia="x-none"/>
    </w:rPr>
  </w:style>
  <w:style w:type="character" w:customStyle="1" w:styleId="hps">
    <w:name w:val="hps"/>
    <w:rsid w:val="00044216"/>
  </w:style>
  <w:style w:type="paragraph" w:styleId="Caption">
    <w:name w:val="caption"/>
    <w:basedOn w:val="Normal"/>
    <w:next w:val="Normal"/>
    <w:uiPriority w:val="35"/>
    <w:qFormat/>
    <w:rsid w:val="00044216"/>
    <w:pPr>
      <w:spacing w:after="0" w:line="240" w:lineRule="auto"/>
    </w:pPr>
    <w:rPr>
      <w:rFonts w:eastAsia="MS Mincho" w:cs="Times New Roman"/>
      <w:b/>
      <w:bCs/>
      <w:sz w:val="20"/>
      <w:szCs w:val="20"/>
      <w:lang w:eastAsia="ja-JP"/>
    </w:rPr>
  </w:style>
  <w:style w:type="character" w:customStyle="1" w:styleId="Heading1Char">
    <w:name w:val="Heading 1 Char"/>
    <w:basedOn w:val="DefaultParagraphFont"/>
    <w:link w:val="Heading1"/>
    <w:uiPriority w:val="9"/>
    <w:rsid w:val="000442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42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4421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44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216"/>
    <w:rPr>
      <w:rFonts w:ascii="Tahoma" w:hAnsi="Tahoma" w:cs="Tahoma"/>
      <w:sz w:val="16"/>
      <w:szCs w:val="16"/>
    </w:rPr>
  </w:style>
  <w:style w:type="paragraph" w:styleId="ListParagraph">
    <w:name w:val="List Paragraph"/>
    <w:basedOn w:val="Normal"/>
    <w:uiPriority w:val="34"/>
    <w:qFormat/>
    <w:rsid w:val="007622B0"/>
    <w:pPr>
      <w:ind w:left="720"/>
      <w:contextualSpacing/>
    </w:pPr>
  </w:style>
  <w:style w:type="paragraph" w:styleId="FootnoteText">
    <w:name w:val="footnote text"/>
    <w:basedOn w:val="Normal"/>
    <w:link w:val="FootnoteTextChar"/>
    <w:uiPriority w:val="99"/>
    <w:unhideWhenUsed/>
    <w:rsid w:val="0051791A"/>
    <w:pPr>
      <w:spacing w:after="0" w:line="240" w:lineRule="auto"/>
      <w:jc w:val="left"/>
    </w:pPr>
    <w:rPr>
      <w:rFonts w:asciiTheme="minorHAnsi" w:hAnsiTheme="minorHAnsi"/>
      <w:sz w:val="24"/>
      <w:szCs w:val="24"/>
    </w:rPr>
  </w:style>
  <w:style w:type="character" w:customStyle="1" w:styleId="FootnoteTextChar">
    <w:name w:val="Footnote Text Char"/>
    <w:basedOn w:val="DefaultParagraphFont"/>
    <w:link w:val="FootnoteText"/>
    <w:uiPriority w:val="99"/>
    <w:rsid w:val="0051791A"/>
    <w:rPr>
      <w:sz w:val="24"/>
      <w:szCs w:val="24"/>
    </w:rPr>
  </w:style>
  <w:style w:type="paragraph" w:customStyle="1" w:styleId="s0">
    <w:name w:val="s0"/>
    <w:uiPriority w:val="99"/>
    <w:rsid w:val="008806B6"/>
    <w:pPr>
      <w:widowControl w:val="0"/>
      <w:autoSpaceDE w:val="0"/>
      <w:autoSpaceDN w:val="0"/>
      <w:adjustRightInd w:val="0"/>
      <w:spacing w:after="0" w:line="240" w:lineRule="auto"/>
    </w:pPr>
    <w:rPr>
      <w:rFonts w:ascii="Malgun Gothic" w:eastAsia="Malgun Gothic" w:hAnsi="Malgun Gothic" w:cs="Times New Roman"/>
      <w:sz w:val="24"/>
      <w:szCs w:val="24"/>
      <w:lang w:eastAsia="ko-KR"/>
    </w:rPr>
  </w:style>
  <w:style w:type="character" w:customStyle="1" w:styleId="Bodytext2Italic">
    <w:name w:val="Body text (2) + Italic"/>
    <w:rsid w:val="008806B6"/>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shd w:val="clear" w:color="auto" w:fill="FFFFFF"/>
      <w:lang w:val="vi-VN" w:eastAsia="vi-VN" w:bidi="vi-VN"/>
    </w:rPr>
  </w:style>
  <w:style w:type="paragraph" w:styleId="Header">
    <w:name w:val="header"/>
    <w:basedOn w:val="Normal"/>
    <w:link w:val="HeaderChar"/>
    <w:uiPriority w:val="99"/>
    <w:unhideWhenUsed/>
    <w:rsid w:val="006E3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B08"/>
    <w:rPr>
      <w:rFonts w:ascii="Times New Roman" w:hAnsi="Times New Roman"/>
      <w:sz w:val="26"/>
    </w:rPr>
  </w:style>
  <w:style w:type="paragraph" w:styleId="Footer">
    <w:name w:val="footer"/>
    <w:basedOn w:val="Normal"/>
    <w:link w:val="FooterChar"/>
    <w:uiPriority w:val="99"/>
    <w:unhideWhenUsed/>
    <w:rsid w:val="006E3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B08"/>
    <w:rPr>
      <w:rFonts w:ascii="Times New Roman" w:hAnsi="Times New Roman"/>
      <w:sz w:val="26"/>
    </w:rPr>
  </w:style>
  <w:style w:type="character" w:customStyle="1" w:styleId="yshortcuts">
    <w:name w:val="yshortcuts"/>
    <w:basedOn w:val="DefaultParagraphFont"/>
    <w:rsid w:val="006E3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pn.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3450</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2016-10-14T16:53:00Z</cp:lastPrinted>
  <dcterms:created xsi:type="dcterms:W3CDTF">2017-08-08T09:01:00Z</dcterms:created>
  <dcterms:modified xsi:type="dcterms:W3CDTF">2017-08-08T09:01:00Z</dcterms:modified>
</cp:coreProperties>
</file>